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2940F3">
      <w:pPr>
        <w:spacing w:line="600" w:lineRule="exact"/>
        <w:jc w:val="left"/>
        <w:rPr>
          <w:rFonts w:hint="default" w:ascii="Times New Roman" w:hAnsi="Times New Roman" w:eastAsia="黑体" w:cs="Times New Roman"/>
          <w:b w:val="0"/>
          <w:bCs w:val="0"/>
          <w:color w:val="auto"/>
          <w:sz w:val="32"/>
          <w:szCs w:val="32"/>
          <w:highlight w:val="none"/>
          <w:lang w:val="en" w:eastAsia="zh-CN"/>
        </w:rPr>
      </w:pPr>
      <w:r>
        <w:rPr>
          <w:rFonts w:hint="default" w:ascii="Times New Roman" w:hAnsi="Times New Roman" w:eastAsia="黑体" w:cs="Times New Roman"/>
          <w:b w:val="0"/>
          <w:bCs w:val="0"/>
          <w:color w:val="auto"/>
          <w:sz w:val="32"/>
          <w:szCs w:val="32"/>
          <w:highlight w:val="none"/>
          <w:lang w:val="en"/>
        </w:rPr>
        <w:t>附件</w:t>
      </w:r>
      <w:r>
        <w:rPr>
          <w:rFonts w:hint="default" w:ascii="Times New Roman" w:hAnsi="Times New Roman" w:eastAsia="黑体" w:cs="Times New Roman"/>
          <w:b w:val="0"/>
          <w:bCs w:val="0"/>
          <w:color w:val="auto"/>
          <w:sz w:val="32"/>
          <w:szCs w:val="32"/>
          <w:highlight w:val="none"/>
          <w:lang w:val="en-US" w:eastAsia="zh-CN"/>
        </w:rPr>
        <w:t>4</w:t>
      </w:r>
    </w:p>
    <w:p w14:paraId="6B6A8142">
      <w:pPr>
        <w:spacing w:line="600" w:lineRule="exact"/>
        <w:jc w:val="center"/>
        <w:rPr>
          <w:rFonts w:hint="eastAsia" w:ascii="方正小标宋简体" w:hAnsi="方正小标宋简体" w:eastAsia="方正小标宋简体" w:cs="方正小标宋简体"/>
          <w:b w:val="0"/>
          <w:bCs w:val="0"/>
          <w:color w:val="auto"/>
          <w:sz w:val="44"/>
          <w:szCs w:val="44"/>
          <w:highlight w:val="none"/>
        </w:rPr>
      </w:pPr>
    </w:p>
    <w:p w14:paraId="0C8BF853">
      <w:pPr>
        <w:spacing w:line="600" w:lineRule="exact"/>
        <w:jc w:val="center"/>
        <w:rPr>
          <w:rFonts w:hint="eastAsia" w:ascii="方正小标宋简体" w:hAnsi="方正小标宋简体" w:eastAsia="方正小标宋简体" w:cs="方正小标宋简体"/>
          <w:b w:val="0"/>
          <w:bCs w:val="0"/>
          <w:color w:val="auto"/>
          <w:sz w:val="44"/>
          <w:szCs w:val="44"/>
          <w:highlight w:val="none"/>
        </w:rPr>
      </w:pPr>
      <w:r>
        <w:rPr>
          <w:rFonts w:hint="eastAsia" w:ascii="方正小标宋简体" w:hAnsi="方正小标宋简体" w:eastAsia="方正小标宋简体" w:cs="方正小标宋简体"/>
          <w:b w:val="0"/>
          <w:bCs w:val="0"/>
          <w:color w:val="auto"/>
          <w:sz w:val="44"/>
          <w:szCs w:val="44"/>
          <w:highlight w:val="none"/>
        </w:rPr>
        <w:t>社会发展领域重点研发计划项目申报指南</w:t>
      </w:r>
    </w:p>
    <w:p w14:paraId="63C7D196">
      <w:pPr>
        <w:pStyle w:val="4"/>
        <w:spacing w:line="600" w:lineRule="exact"/>
        <w:ind w:firstLine="0"/>
        <w:jc w:val="center"/>
        <w:rPr>
          <w:rFonts w:hint="eastAsia" w:ascii="方正小标宋简体" w:hAnsi="方正小标宋简体" w:eastAsia="方正小标宋简体" w:cs="方正小标宋简体"/>
          <w:b w:val="0"/>
          <w:bCs w:val="0"/>
          <w:color w:val="auto"/>
          <w:sz w:val="44"/>
          <w:szCs w:val="44"/>
          <w:highlight w:val="none"/>
        </w:rPr>
      </w:pPr>
    </w:p>
    <w:p w14:paraId="7A763C1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default" w:ascii="Times New Roman" w:hAnsi="Times New Roman" w:eastAsia="黑体" w:cs="Times New Roman"/>
          <w:b w:val="0"/>
          <w:bCs w:val="0"/>
          <w:color w:val="auto"/>
          <w:sz w:val="32"/>
          <w:szCs w:val="32"/>
          <w:highlight w:val="none"/>
          <w:lang w:val="en-US" w:eastAsia="zh-CN"/>
        </w:rPr>
      </w:pPr>
      <w:r>
        <w:rPr>
          <w:rFonts w:hint="default" w:ascii="Times New Roman" w:hAnsi="Times New Roman" w:eastAsia="黑体" w:cs="Times New Roman"/>
          <w:b w:val="0"/>
          <w:bCs w:val="0"/>
          <w:color w:val="auto"/>
          <w:sz w:val="32"/>
          <w:szCs w:val="32"/>
          <w:highlight w:val="none"/>
          <w:lang w:val="en-US" w:eastAsia="zh-CN"/>
        </w:rPr>
        <w:t>一、申报指南清单</w:t>
      </w:r>
    </w:p>
    <w:tbl>
      <w:tblPr>
        <w:tblStyle w:val="8"/>
        <w:tblW w:w="9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1636"/>
        <w:gridCol w:w="6750"/>
      </w:tblGrid>
      <w:tr w14:paraId="4CCAF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blHeader/>
          <w:jc w:val="center"/>
        </w:trPr>
        <w:tc>
          <w:tcPr>
            <w:tcW w:w="812" w:type="dxa"/>
            <w:noWrap w:val="0"/>
            <w:vAlign w:val="center"/>
          </w:tcPr>
          <w:p w14:paraId="153A1EFE">
            <w:pPr>
              <w:keepNext w:val="0"/>
              <w:keepLines w:val="0"/>
              <w:pageBreakBefore w:val="0"/>
              <w:numPr>
                <w:ilvl w:val="0"/>
                <w:numId w:val="0"/>
              </w:numPr>
              <w:kinsoku/>
              <w:wordWrap/>
              <w:overflowPunct/>
              <w:topLinePunct w:val="0"/>
              <w:autoSpaceDE/>
              <w:autoSpaceDN/>
              <w:bidi w:val="0"/>
              <w:adjustRightInd/>
              <w:snapToGrid/>
              <w:spacing w:line="440" w:lineRule="exact"/>
              <w:jc w:val="center"/>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b/>
                <w:bCs/>
                <w:color w:val="auto"/>
                <w:sz w:val="28"/>
                <w:szCs w:val="28"/>
                <w:highlight w:val="none"/>
                <w:lang w:val="en-US" w:eastAsia="zh-CN"/>
              </w:rPr>
              <w:t>序号</w:t>
            </w:r>
          </w:p>
        </w:tc>
        <w:tc>
          <w:tcPr>
            <w:tcW w:w="1636" w:type="dxa"/>
            <w:noWrap w:val="0"/>
            <w:vAlign w:val="center"/>
          </w:tcPr>
          <w:p w14:paraId="7FF177B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_GB2312" w:cs="Times New Roman"/>
                <w:b/>
                <w:bCs/>
                <w:color w:val="auto"/>
                <w:sz w:val="28"/>
                <w:szCs w:val="28"/>
                <w:highlight w:val="none"/>
              </w:rPr>
            </w:pPr>
            <w:r>
              <w:rPr>
                <w:rFonts w:hint="default" w:ascii="Times New Roman" w:hAnsi="Times New Roman" w:eastAsia="仿宋_GB2312" w:cs="Times New Roman"/>
                <w:b/>
                <w:bCs/>
                <w:color w:val="auto"/>
                <w:sz w:val="28"/>
                <w:szCs w:val="28"/>
                <w:highlight w:val="none"/>
              </w:rPr>
              <w:t>技术领域</w:t>
            </w:r>
          </w:p>
        </w:tc>
        <w:tc>
          <w:tcPr>
            <w:tcW w:w="6750" w:type="dxa"/>
            <w:noWrap w:val="0"/>
            <w:vAlign w:val="center"/>
          </w:tcPr>
          <w:p w14:paraId="5309F79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_GB2312" w:cs="Times New Roman"/>
                <w:b/>
                <w:bCs/>
                <w:color w:val="auto"/>
                <w:sz w:val="28"/>
                <w:szCs w:val="28"/>
                <w:highlight w:val="none"/>
                <w:lang w:eastAsia="zh-CN"/>
              </w:rPr>
            </w:pPr>
            <w:r>
              <w:rPr>
                <w:rFonts w:hint="default" w:ascii="Times New Roman" w:hAnsi="Times New Roman" w:eastAsia="仿宋_GB2312" w:cs="Times New Roman"/>
                <w:b/>
                <w:bCs/>
                <w:color w:val="auto"/>
                <w:sz w:val="28"/>
                <w:szCs w:val="28"/>
                <w:highlight w:val="none"/>
                <w:lang w:eastAsia="zh-CN"/>
              </w:rPr>
              <w:t>指南名称</w:t>
            </w:r>
          </w:p>
        </w:tc>
      </w:tr>
      <w:tr w14:paraId="38E28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812" w:type="dxa"/>
            <w:noWrap w:val="0"/>
            <w:vAlign w:val="center"/>
          </w:tcPr>
          <w:p w14:paraId="214A417C">
            <w:pPr>
              <w:keepNext w:val="0"/>
              <w:keepLines w:val="0"/>
              <w:pageBreakBefore w:val="0"/>
              <w:widowControl w:val="0"/>
              <w:numPr>
                <w:ilvl w:val="0"/>
                <w:numId w:val="0"/>
              </w:numPr>
              <w:suppressLineNumbers w:val="0"/>
              <w:kinsoku/>
              <w:wordWrap/>
              <w:overflowPunct/>
              <w:topLinePunct w:val="0"/>
              <w:autoSpaceDE/>
              <w:autoSpaceDN/>
              <w:bidi w:val="0"/>
              <w:adjustRightInd/>
              <w:snapToGrid/>
              <w:spacing w:line="440" w:lineRule="exact"/>
              <w:ind w:leftChars="0"/>
              <w:jc w:val="center"/>
              <w:textAlignment w:val="center"/>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color w:val="auto"/>
                <w:sz w:val="28"/>
                <w:szCs w:val="28"/>
                <w:highlight w:val="none"/>
                <w:lang w:val="en-US" w:eastAsia="zh-CN"/>
              </w:rPr>
              <w:t>1</w:t>
            </w:r>
          </w:p>
        </w:tc>
        <w:tc>
          <w:tcPr>
            <w:tcW w:w="1636" w:type="dxa"/>
            <w:vMerge w:val="restart"/>
            <w:noWrap w:val="0"/>
            <w:vAlign w:val="center"/>
          </w:tcPr>
          <w:p w14:paraId="3FF24484">
            <w:pPr>
              <w:keepNext w:val="0"/>
              <w:keepLines w:val="0"/>
              <w:pageBreakBefore w:val="0"/>
              <w:kinsoku/>
              <w:wordWrap/>
              <w:overflowPunct/>
              <w:topLinePunct w:val="0"/>
              <w:autoSpaceDE/>
              <w:autoSpaceDN/>
              <w:bidi w:val="0"/>
              <w:adjustRightInd/>
              <w:snapToGrid/>
              <w:spacing w:line="440" w:lineRule="exact"/>
              <w:jc w:val="center"/>
              <w:rPr>
                <w:rFonts w:hint="default" w:ascii="Times New Roman" w:hAnsi="Times New Roman" w:eastAsia="仿宋_GB2312" w:cs="Times New Roman"/>
                <w:color w:val="auto"/>
                <w:sz w:val="28"/>
                <w:szCs w:val="28"/>
                <w:highlight w:val="none"/>
                <w:lang w:eastAsia="zh-CN"/>
              </w:rPr>
            </w:pPr>
            <w:r>
              <w:rPr>
                <w:rFonts w:hint="default" w:ascii="Times New Roman" w:hAnsi="Times New Roman" w:eastAsia="仿宋_GB2312" w:cs="Times New Roman"/>
                <w:color w:val="auto"/>
                <w:sz w:val="28"/>
                <w:szCs w:val="28"/>
                <w:highlight w:val="none"/>
                <w:lang w:eastAsia="zh-CN"/>
              </w:rPr>
              <w:t>新能源</w:t>
            </w:r>
          </w:p>
        </w:tc>
        <w:tc>
          <w:tcPr>
            <w:tcW w:w="6750" w:type="dxa"/>
            <w:noWrap w:val="0"/>
            <w:vAlign w:val="center"/>
          </w:tcPr>
          <w:p w14:paraId="383C66A1">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left="0" w:leftChars="0" w:right="0" w:rightChars="0"/>
              <w:jc w:val="both"/>
              <w:textAlignment w:val="auto"/>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kern w:val="0"/>
                <w:sz w:val="28"/>
                <w:szCs w:val="28"/>
                <w:highlight w:val="none"/>
                <w:lang w:eastAsia="zh-CN"/>
              </w:rPr>
              <w:t>干法电芯工艺开发</w:t>
            </w:r>
          </w:p>
        </w:tc>
      </w:tr>
      <w:tr w14:paraId="3CDFD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812" w:type="dxa"/>
            <w:noWrap w:val="0"/>
            <w:vAlign w:val="center"/>
          </w:tcPr>
          <w:p w14:paraId="5DBEF87B">
            <w:pPr>
              <w:keepNext w:val="0"/>
              <w:keepLines w:val="0"/>
              <w:pageBreakBefore w:val="0"/>
              <w:widowControl w:val="0"/>
              <w:numPr>
                <w:ilvl w:val="0"/>
                <w:numId w:val="0"/>
              </w:numPr>
              <w:suppressLineNumbers w:val="0"/>
              <w:kinsoku/>
              <w:wordWrap/>
              <w:overflowPunct/>
              <w:topLinePunct w:val="0"/>
              <w:autoSpaceDE/>
              <w:autoSpaceDN/>
              <w:bidi w:val="0"/>
              <w:adjustRightInd/>
              <w:snapToGrid/>
              <w:spacing w:line="440" w:lineRule="exact"/>
              <w:ind w:leftChars="0"/>
              <w:jc w:val="center"/>
              <w:textAlignment w:val="center"/>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color w:val="auto"/>
                <w:sz w:val="28"/>
                <w:szCs w:val="28"/>
                <w:highlight w:val="none"/>
                <w:lang w:val="en-US" w:eastAsia="zh-CN"/>
              </w:rPr>
              <w:t>2</w:t>
            </w:r>
          </w:p>
        </w:tc>
        <w:tc>
          <w:tcPr>
            <w:tcW w:w="1636" w:type="dxa"/>
            <w:vMerge w:val="continue"/>
            <w:noWrap w:val="0"/>
            <w:vAlign w:val="center"/>
          </w:tcPr>
          <w:p w14:paraId="5A93DAC0">
            <w:pPr>
              <w:keepNext w:val="0"/>
              <w:keepLines w:val="0"/>
              <w:pageBreakBefore w:val="0"/>
              <w:kinsoku/>
              <w:wordWrap/>
              <w:overflowPunct/>
              <w:topLinePunct w:val="0"/>
              <w:autoSpaceDE/>
              <w:autoSpaceDN/>
              <w:bidi w:val="0"/>
              <w:adjustRightInd/>
              <w:snapToGrid/>
              <w:spacing w:line="440" w:lineRule="exact"/>
              <w:jc w:val="center"/>
              <w:rPr>
                <w:rFonts w:hint="default" w:ascii="Times New Roman" w:hAnsi="Times New Roman" w:eastAsia="仿宋_GB2312" w:cs="Times New Roman"/>
                <w:color w:val="auto"/>
                <w:sz w:val="28"/>
                <w:szCs w:val="28"/>
                <w:highlight w:val="none"/>
              </w:rPr>
            </w:pPr>
          </w:p>
        </w:tc>
        <w:tc>
          <w:tcPr>
            <w:tcW w:w="6750" w:type="dxa"/>
            <w:noWrap w:val="0"/>
            <w:vAlign w:val="center"/>
          </w:tcPr>
          <w:p w14:paraId="60DD1A23">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left="0" w:leftChars="0" w:right="0" w:rightChars="0"/>
              <w:jc w:val="both"/>
              <w:textAlignment w:val="auto"/>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kern w:val="0"/>
                <w:sz w:val="28"/>
                <w:szCs w:val="28"/>
                <w:highlight w:val="none"/>
              </w:rPr>
              <w:t>面向电网薄弱地区新能源消纳和主动支撑的混合储能系统</w:t>
            </w:r>
            <w:r>
              <w:rPr>
                <w:rFonts w:hint="default" w:ascii="Times New Roman" w:hAnsi="Times New Roman" w:eastAsia="仿宋_GB2312" w:cs="Times New Roman"/>
                <w:color w:val="auto"/>
                <w:kern w:val="0"/>
                <w:sz w:val="28"/>
                <w:szCs w:val="28"/>
                <w:highlight w:val="none"/>
                <w:lang w:eastAsia="zh-CN"/>
              </w:rPr>
              <w:t>关键技术研究</w:t>
            </w:r>
          </w:p>
        </w:tc>
      </w:tr>
      <w:tr w14:paraId="25162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812" w:type="dxa"/>
            <w:noWrap w:val="0"/>
            <w:vAlign w:val="center"/>
          </w:tcPr>
          <w:p w14:paraId="21D1970E">
            <w:pPr>
              <w:keepNext w:val="0"/>
              <w:keepLines w:val="0"/>
              <w:pageBreakBefore w:val="0"/>
              <w:widowControl w:val="0"/>
              <w:numPr>
                <w:ilvl w:val="0"/>
                <w:numId w:val="0"/>
              </w:numPr>
              <w:suppressLineNumbers w:val="0"/>
              <w:kinsoku/>
              <w:wordWrap/>
              <w:overflowPunct/>
              <w:topLinePunct w:val="0"/>
              <w:autoSpaceDE/>
              <w:autoSpaceDN/>
              <w:bidi w:val="0"/>
              <w:adjustRightInd/>
              <w:snapToGrid/>
              <w:spacing w:line="440" w:lineRule="exact"/>
              <w:ind w:leftChars="0"/>
              <w:jc w:val="center"/>
              <w:textAlignment w:val="center"/>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color w:val="auto"/>
                <w:sz w:val="28"/>
                <w:szCs w:val="28"/>
                <w:highlight w:val="none"/>
                <w:lang w:val="en-US" w:eastAsia="zh-CN"/>
              </w:rPr>
              <w:t>3</w:t>
            </w:r>
          </w:p>
        </w:tc>
        <w:tc>
          <w:tcPr>
            <w:tcW w:w="1636" w:type="dxa"/>
            <w:vMerge w:val="continue"/>
            <w:noWrap w:val="0"/>
            <w:vAlign w:val="center"/>
          </w:tcPr>
          <w:p w14:paraId="7A04C29A">
            <w:pPr>
              <w:keepNext w:val="0"/>
              <w:keepLines w:val="0"/>
              <w:pageBreakBefore w:val="0"/>
              <w:kinsoku/>
              <w:wordWrap/>
              <w:overflowPunct/>
              <w:topLinePunct w:val="0"/>
              <w:autoSpaceDE/>
              <w:autoSpaceDN/>
              <w:bidi w:val="0"/>
              <w:adjustRightInd/>
              <w:snapToGrid/>
              <w:spacing w:line="440" w:lineRule="exact"/>
              <w:jc w:val="center"/>
              <w:rPr>
                <w:rFonts w:hint="default" w:ascii="Times New Roman" w:hAnsi="Times New Roman" w:eastAsia="仿宋_GB2312" w:cs="Times New Roman"/>
                <w:color w:val="auto"/>
                <w:sz w:val="28"/>
                <w:szCs w:val="28"/>
                <w:highlight w:val="none"/>
              </w:rPr>
            </w:pPr>
          </w:p>
        </w:tc>
        <w:tc>
          <w:tcPr>
            <w:tcW w:w="6750" w:type="dxa"/>
            <w:noWrap w:val="0"/>
            <w:vAlign w:val="center"/>
          </w:tcPr>
          <w:p w14:paraId="00298D76">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left="0" w:leftChars="0" w:right="0" w:rightChars="0"/>
              <w:jc w:val="both"/>
              <w:textAlignment w:val="auto"/>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kern w:val="0"/>
                <w:sz w:val="28"/>
                <w:szCs w:val="28"/>
                <w:highlight w:val="none"/>
                <w:lang w:eastAsia="zh-CN"/>
              </w:rPr>
              <w:t>隧穿氧化钝化全背电极接触光伏电池及组件</w:t>
            </w:r>
          </w:p>
        </w:tc>
      </w:tr>
      <w:tr w14:paraId="19871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812" w:type="dxa"/>
            <w:noWrap w:val="0"/>
            <w:vAlign w:val="center"/>
          </w:tcPr>
          <w:p w14:paraId="1FDB914A">
            <w:pPr>
              <w:keepNext w:val="0"/>
              <w:keepLines w:val="0"/>
              <w:pageBreakBefore w:val="0"/>
              <w:widowControl w:val="0"/>
              <w:numPr>
                <w:ilvl w:val="0"/>
                <w:numId w:val="0"/>
              </w:numPr>
              <w:suppressLineNumbers w:val="0"/>
              <w:kinsoku/>
              <w:wordWrap/>
              <w:overflowPunct/>
              <w:topLinePunct w:val="0"/>
              <w:autoSpaceDE/>
              <w:autoSpaceDN/>
              <w:bidi w:val="0"/>
              <w:adjustRightInd/>
              <w:snapToGrid/>
              <w:spacing w:line="440" w:lineRule="exact"/>
              <w:ind w:leftChars="0"/>
              <w:jc w:val="center"/>
              <w:textAlignment w:val="center"/>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color w:val="auto"/>
                <w:sz w:val="28"/>
                <w:szCs w:val="28"/>
                <w:highlight w:val="none"/>
                <w:lang w:val="en-US" w:eastAsia="zh-CN"/>
              </w:rPr>
              <w:t>4</w:t>
            </w:r>
          </w:p>
        </w:tc>
        <w:tc>
          <w:tcPr>
            <w:tcW w:w="1636" w:type="dxa"/>
            <w:vMerge w:val="continue"/>
            <w:noWrap w:val="0"/>
            <w:vAlign w:val="center"/>
          </w:tcPr>
          <w:p w14:paraId="72E2DEB5">
            <w:pPr>
              <w:keepNext w:val="0"/>
              <w:keepLines w:val="0"/>
              <w:pageBreakBefore w:val="0"/>
              <w:kinsoku/>
              <w:wordWrap/>
              <w:overflowPunct/>
              <w:topLinePunct w:val="0"/>
              <w:autoSpaceDE/>
              <w:autoSpaceDN/>
              <w:bidi w:val="0"/>
              <w:adjustRightInd/>
              <w:snapToGrid/>
              <w:spacing w:line="440" w:lineRule="exact"/>
              <w:jc w:val="center"/>
              <w:rPr>
                <w:rFonts w:hint="default" w:ascii="Times New Roman" w:hAnsi="Times New Roman" w:eastAsia="仿宋_GB2312" w:cs="Times New Roman"/>
                <w:color w:val="auto"/>
                <w:sz w:val="28"/>
                <w:szCs w:val="28"/>
                <w:highlight w:val="none"/>
              </w:rPr>
            </w:pPr>
          </w:p>
        </w:tc>
        <w:tc>
          <w:tcPr>
            <w:tcW w:w="6750" w:type="dxa"/>
            <w:noWrap w:val="0"/>
            <w:vAlign w:val="center"/>
          </w:tcPr>
          <w:p w14:paraId="13977650">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left="0" w:leftChars="0" w:right="0" w:rightChars="0"/>
              <w:jc w:val="both"/>
              <w:textAlignment w:val="auto"/>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kern w:val="0"/>
                <w:sz w:val="28"/>
                <w:szCs w:val="28"/>
                <w:highlight w:val="none"/>
              </w:rPr>
              <w:t>异质结太阳能电池栅线非接触式增材制造技术</w:t>
            </w:r>
          </w:p>
        </w:tc>
      </w:tr>
      <w:tr w14:paraId="756A5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812" w:type="dxa"/>
            <w:noWrap w:val="0"/>
            <w:vAlign w:val="center"/>
          </w:tcPr>
          <w:p w14:paraId="6B760F67">
            <w:pPr>
              <w:keepNext w:val="0"/>
              <w:keepLines w:val="0"/>
              <w:pageBreakBefore w:val="0"/>
              <w:widowControl w:val="0"/>
              <w:numPr>
                <w:ilvl w:val="0"/>
                <w:numId w:val="0"/>
              </w:numPr>
              <w:suppressLineNumbers w:val="0"/>
              <w:kinsoku/>
              <w:wordWrap/>
              <w:overflowPunct/>
              <w:topLinePunct w:val="0"/>
              <w:autoSpaceDE/>
              <w:autoSpaceDN/>
              <w:bidi w:val="0"/>
              <w:adjustRightInd/>
              <w:snapToGrid/>
              <w:spacing w:line="440" w:lineRule="exact"/>
              <w:ind w:leftChars="0"/>
              <w:jc w:val="center"/>
              <w:textAlignment w:val="center"/>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color w:val="auto"/>
                <w:sz w:val="28"/>
                <w:szCs w:val="28"/>
                <w:highlight w:val="none"/>
                <w:lang w:val="en-US" w:eastAsia="zh-CN"/>
              </w:rPr>
              <w:t>5</w:t>
            </w:r>
          </w:p>
        </w:tc>
        <w:tc>
          <w:tcPr>
            <w:tcW w:w="1636" w:type="dxa"/>
            <w:vMerge w:val="continue"/>
            <w:noWrap w:val="0"/>
            <w:vAlign w:val="center"/>
          </w:tcPr>
          <w:p w14:paraId="718EB944">
            <w:pPr>
              <w:keepNext w:val="0"/>
              <w:keepLines w:val="0"/>
              <w:pageBreakBefore w:val="0"/>
              <w:kinsoku/>
              <w:wordWrap/>
              <w:overflowPunct/>
              <w:topLinePunct w:val="0"/>
              <w:autoSpaceDE/>
              <w:autoSpaceDN/>
              <w:bidi w:val="0"/>
              <w:adjustRightInd/>
              <w:snapToGrid/>
              <w:spacing w:line="440" w:lineRule="exact"/>
              <w:jc w:val="center"/>
              <w:rPr>
                <w:rFonts w:hint="default" w:ascii="Times New Roman" w:hAnsi="Times New Roman" w:eastAsia="仿宋_GB2312" w:cs="Times New Roman"/>
                <w:color w:val="auto"/>
                <w:sz w:val="28"/>
                <w:szCs w:val="28"/>
                <w:highlight w:val="none"/>
              </w:rPr>
            </w:pPr>
          </w:p>
        </w:tc>
        <w:tc>
          <w:tcPr>
            <w:tcW w:w="6750" w:type="dxa"/>
            <w:noWrap w:val="0"/>
            <w:vAlign w:val="center"/>
          </w:tcPr>
          <w:p w14:paraId="4ABC29C6">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left="0" w:leftChars="0" w:right="0" w:rightChars="0"/>
              <w:jc w:val="both"/>
              <w:textAlignment w:val="auto"/>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kern w:val="0"/>
                <w:sz w:val="28"/>
                <w:szCs w:val="28"/>
                <w:highlight w:val="none"/>
              </w:rPr>
              <w:t>磷酸二氢锂制备工艺研究</w:t>
            </w:r>
          </w:p>
        </w:tc>
      </w:tr>
      <w:tr w14:paraId="5EC13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812" w:type="dxa"/>
            <w:noWrap w:val="0"/>
            <w:vAlign w:val="center"/>
          </w:tcPr>
          <w:p w14:paraId="61D6B834">
            <w:pPr>
              <w:keepNext w:val="0"/>
              <w:keepLines w:val="0"/>
              <w:pageBreakBefore w:val="0"/>
              <w:widowControl w:val="0"/>
              <w:numPr>
                <w:ilvl w:val="0"/>
                <w:numId w:val="0"/>
              </w:numPr>
              <w:suppressLineNumbers w:val="0"/>
              <w:kinsoku/>
              <w:wordWrap/>
              <w:overflowPunct/>
              <w:topLinePunct w:val="0"/>
              <w:autoSpaceDE/>
              <w:autoSpaceDN/>
              <w:bidi w:val="0"/>
              <w:adjustRightInd/>
              <w:snapToGrid/>
              <w:spacing w:line="440" w:lineRule="exact"/>
              <w:ind w:leftChars="0"/>
              <w:jc w:val="center"/>
              <w:textAlignment w:val="center"/>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color w:val="auto"/>
                <w:sz w:val="28"/>
                <w:szCs w:val="28"/>
                <w:highlight w:val="none"/>
                <w:lang w:val="en-US" w:eastAsia="zh-CN"/>
              </w:rPr>
              <w:t>6</w:t>
            </w:r>
          </w:p>
        </w:tc>
        <w:tc>
          <w:tcPr>
            <w:tcW w:w="1636" w:type="dxa"/>
            <w:vMerge w:val="continue"/>
            <w:noWrap w:val="0"/>
            <w:vAlign w:val="center"/>
          </w:tcPr>
          <w:p w14:paraId="2884564D">
            <w:pPr>
              <w:keepNext w:val="0"/>
              <w:keepLines w:val="0"/>
              <w:pageBreakBefore w:val="0"/>
              <w:kinsoku/>
              <w:wordWrap/>
              <w:overflowPunct/>
              <w:topLinePunct w:val="0"/>
              <w:autoSpaceDE/>
              <w:autoSpaceDN/>
              <w:bidi w:val="0"/>
              <w:adjustRightInd/>
              <w:snapToGrid/>
              <w:spacing w:line="440" w:lineRule="exact"/>
              <w:jc w:val="center"/>
              <w:rPr>
                <w:rFonts w:hint="default" w:ascii="Times New Roman" w:hAnsi="Times New Roman" w:eastAsia="仿宋_GB2312" w:cs="Times New Roman"/>
                <w:color w:val="auto"/>
                <w:sz w:val="28"/>
                <w:szCs w:val="28"/>
                <w:highlight w:val="none"/>
              </w:rPr>
            </w:pPr>
          </w:p>
        </w:tc>
        <w:tc>
          <w:tcPr>
            <w:tcW w:w="6750" w:type="dxa"/>
            <w:noWrap w:val="0"/>
            <w:vAlign w:val="center"/>
          </w:tcPr>
          <w:p w14:paraId="56F18F71">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left="0" w:leftChars="0" w:right="0" w:rightChars="0"/>
              <w:jc w:val="both"/>
              <w:textAlignment w:val="auto"/>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kern w:val="0"/>
                <w:sz w:val="28"/>
                <w:szCs w:val="28"/>
                <w:highlight w:val="none"/>
                <w:lang w:val="en" w:eastAsia="zh-CN" w:bidi="ar"/>
              </w:rPr>
              <w:t>无负极锂离子电池技术开发</w:t>
            </w:r>
          </w:p>
        </w:tc>
      </w:tr>
      <w:tr w14:paraId="659F9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812" w:type="dxa"/>
            <w:noWrap w:val="0"/>
            <w:vAlign w:val="center"/>
          </w:tcPr>
          <w:p w14:paraId="28EF4D69">
            <w:pPr>
              <w:keepNext w:val="0"/>
              <w:keepLines w:val="0"/>
              <w:pageBreakBefore w:val="0"/>
              <w:widowControl w:val="0"/>
              <w:numPr>
                <w:ilvl w:val="0"/>
                <w:numId w:val="0"/>
              </w:numPr>
              <w:suppressLineNumbers w:val="0"/>
              <w:kinsoku/>
              <w:wordWrap/>
              <w:overflowPunct/>
              <w:topLinePunct w:val="0"/>
              <w:autoSpaceDE/>
              <w:autoSpaceDN/>
              <w:bidi w:val="0"/>
              <w:adjustRightInd/>
              <w:snapToGrid/>
              <w:spacing w:line="440" w:lineRule="exact"/>
              <w:ind w:leftChars="0"/>
              <w:jc w:val="center"/>
              <w:textAlignment w:val="center"/>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color w:val="auto"/>
                <w:sz w:val="28"/>
                <w:szCs w:val="28"/>
                <w:highlight w:val="none"/>
                <w:lang w:val="en-US" w:eastAsia="zh-CN"/>
              </w:rPr>
              <w:t>7</w:t>
            </w:r>
          </w:p>
        </w:tc>
        <w:tc>
          <w:tcPr>
            <w:tcW w:w="1636" w:type="dxa"/>
            <w:vMerge w:val="continue"/>
            <w:noWrap w:val="0"/>
            <w:vAlign w:val="center"/>
          </w:tcPr>
          <w:p w14:paraId="70A148F5">
            <w:pPr>
              <w:keepNext w:val="0"/>
              <w:keepLines w:val="0"/>
              <w:pageBreakBefore w:val="0"/>
              <w:kinsoku/>
              <w:wordWrap/>
              <w:overflowPunct/>
              <w:topLinePunct w:val="0"/>
              <w:autoSpaceDE/>
              <w:autoSpaceDN/>
              <w:bidi w:val="0"/>
              <w:adjustRightInd/>
              <w:snapToGrid/>
              <w:spacing w:line="440" w:lineRule="exact"/>
              <w:jc w:val="center"/>
              <w:rPr>
                <w:rFonts w:hint="default" w:ascii="Times New Roman" w:hAnsi="Times New Roman" w:eastAsia="仿宋_GB2312" w:cs="Times New Roman"/>
                <w:color w:val="auto"/>
                <w:sz w:val="28"/>
                <w:szCs w:val="28"/>
                <w:highlight w:val="none"/>
              </w:rPr>
            </w:pPr>
          </w:p>
        </w:tc>
        <w:tc>
          <w:tcPr>
            <w:tcW w:w="6750" w:type="dxa"/>
            <w:noWrap w:val="0"/>
            <w:vAlign w:val="center"/>
          </w:tcPr>
          <w:p w14:paraId="2AD210E3">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left="0" w:leftChars="0" w:right="0" w:rightChars="0"/>
              <w:jc w:val="both"/>
              <w:textAlignment w:val="auto"/>
              <w:rPr>
                <w:rFonts w:hint="default" w:ascii="Times New Roman" w:hAnsi="Times New Roman" w:eastAsia="仿宋_GB2312" w:cs="Times New Roman"/>
                <w:color w:val="auto"/>
                <w:kern w:val="2"/>
                <w:sz w:val="28"/>
                <w:szCs w:val="28"/>
                <w:highlight w:val="none"/>
                <w:lang w:val="en-US" w:eastAsia="zh-CN" w:bidi="ar-SA"/>
              </w:rPr>
            </w:pPr>
            <w:r>
              <w:rPr>
                <w:rFonts w:hint="default" w:ascii="Times New Roman" w:hAnsi="Times New Roman" w:eastAsia="仿宋_GB2312" w:cs="Times New Roman"/>
                <w:color w:val="auto"/>
                <w:kern w:val="0"/>
                <w:sz w:val="28"/>
                <w:szCs w:val="28"/>
                <w:highlight w:val="none"/>
                <w:lang w:val="en-US" w:eastAsia="zh-CN" w:bidi="ar"/>
              </w:rPr>
              <w:t>稀土固态储氢工艺及核心装备研发</w:t>
            </w:r>
          </w:p>
        </w:tc>
      </w:tr>
      <w:tr w14:paraId="745CD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812" w:type="dxa"/>
            <w:noWrap w:val="0"/>
            <w:vAlign w:val="center"/>
          </w:tcPr>
          <w:p w14:paraId="174436F3">
            <w:pPr>
              <w:keepNext w:val="0"/>
              <w:keepLines w:val="0"/>
              <w:pageBreakBefore w:val="0"/>
              <w:widowControl w:val="0"/>
              <w:numPr>
                <w:ilvl w:val="0"/>
                <w:numId w:val="0"/>
              </w:numPr>
              <w:suppressLineNumbers w:val="0"/>
              <w:kinsoku/>
              <w:wordWrap/>
              <w:overflowPunct/>
              <w:topLinePunct w:val="0"/>
              <w:autoSpaceDE/>
              <w:autoSpaceDN/>
              <w:bidi w:val="0"/>
              <w:adjustRightInd/>
              <w:snapToGrid/>
              <w:spacing w:line="440" w:lineRule="exact"/>
              <w:ind w:leftChars="0"/>
              <w:jc w:val="center"/>
              <w:textAlignment w:val="center"/>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color w:val="auto"/>
                <w:sz w:val="28"/>
                <w:szCs w:val="28"/>
                <w:highlight w:val="none"/>
                <w:lang w:val="en-US" w:eastAsia="zh-CN"/>
              </w:rPr>
              <w:t>8</w:t>
            </w:r>
          </w:p>
        </w:tc>
        <w:tc>
          <w:tcPr>
            <w:tcW w:w="1636" w:type="dxa"/>
            <w:vMerge w:val="continue"/>
            <w:noWrap w:val="0"/>
            <w:vAlign w:val="center"/>
          </w:tcPr>
          <w:p w14:paraId="0D47CA56">
            <w:pPr>
              <w:keepNext w:val="0"/>
              <w:keepLines w:val="0"/>
              <w:pageBreakBefore w:val="0"/>
              <w:kinsoku/>
              <w:wordWrap/>
              <w:overflowPunct/>
              <w:topLinePunct w:val="0"/>
              <w:autoSpaceDE/>
              <w:autoSpaceDN/>
              <w:bidi w:val="0"/>
              <w:adjustRightInd/>
              <w:snapToGrid/>
              <w:spacing w:line="440" w:lineRule="exact"/>
              <w:jc w:val="center"/>
              <w:rPr>
                <w:rFonts w:hint="default" w:ascii="Times New Roman" w:hAnsi="Times New Roman" w:eastAsia="仿宋_GB2312" w:cs="Times New Roman"/>
                <w:color w:val="auto"/>
                <w:sz w:val="28"/>
                <w:szCs w:val="28"/>
                <w:highlight w:val="none"/>
              </w:rPr>
            </w:pPr>
          </w:p>
        </w:tc>
        <w:tc>
          <w:tcPr>
            <w:tcW w:w="6750" w:type="dxa"/>
            <w:noWrap w:val="0"/>
            <w:vAlign w:val="center"/>
          </w:tcPr>
          <w:p w14:paraId="04F32CB2">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left="0" w:leftChars="0" w:right="0" w:rightChars="0"/>
              <w:jc w:val="both"/>
              <w:textAlignment w:val="auto"/>
              <w:rPr>
                <w:rFonts w:hint="default" w:ascii="Times New Roman" w:hAnsi="Times New Roman" w:eastAsia="仿宋_GB2312" w:cs="Times New Roman"/>
                <w:color w:val="auto"/>
                <w:kern w:val="2"/>
                <w:sz w:val="28"/>
                <w:szCs w:val="28"/>
                <w:highlight w:val="none"/>
                <w:lang w:val="en-US" w:eastAsia="zh-CN" w:bidi="ar-SA"/>
              </w:rPr>
            </w:pPr>
            <w:r>
              <w:rPr>
                <w:rFonts w:hint="default" w:ascii="Times New Roman" w:hAnsi="Times New Roman" w:eastAsia="仿宋_GB2312" w:cs="Times New Roman"/>
                <w:color w:val="auto"/>
                <w:kern w:val="0"/>
                <w:sz w:val="28"/>
                <w:szCs w:val="28"/>
                <w:highlight w:val="none"/>
              </w:rPr>
              <w:t>高容量钠离子电池硬碳负极材料的制备与产业化</w:t>
            </w:r>
          </w:p>
        </w:tc>
      </w:tr>
      <w:tr w14:paraId="65BDB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812" w:type="dxa"/>
            <w:noWrap w:val="0"/>
            <w:vAlign w:val="center"/>
          </w:tcPr>
          <w:p w14:paraId="72CA1AA6">
            <w:pPr>
              <w:keepNext w:val="0"/>
              <w:keepLines w:val="0"/>
              <w:pageBreakBefore w:val="0"/>
              <w:widowControl w:val="0"/>
              <w:numPr>
                <w:ilvl w:val="0"/>
                <w:numId w:val="0"/>
              </w:numPr>
              <w:suppressLineNumbers w:val="0"/>
              <w:kinsoku/>
              <w:wordWrap/>
              <w:overflowPunct/>
              <w:topLinePunct w:val="0"/>
              <w:autoSpaceDE/>
              <w:autoSpaceDN/>
              <w:bidi w:val="0"/>
              <w:adjustRightInd/>
              <w:snapToGrid/>
              <w:spacing w:line="440" w:lineRule="exact"/>
              <w:ind w:leftChars="0"/>
              <w:jc w:val="center"/>
              <w:textAlignment w:val="center"/>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color w:val="auto"/>
                <w:sz w:val="28"/>
                <w:szCs w:val="28"/>
                <w:highlight w:val="none"/>
                <w:lang w:val="en-US" w:eastAsia="zh-CN"/>
              </w:rPr>
              <w:t>9</w:t>
            </w:r>
          </w:p>
        </w:tc>
        <w:tc>
          <w:tcPr>
            <w:tcW w:w="1636" w:type="dxa"/>
            <w:vMerge w:val="restart"/>
            <w:noWrap w:val="0"/>
            <w:vAlign w:val="center"/>
          </w:tcPr>
          <w:p w14:paraId="4532CF75">
            <w:pPr>
              <w:keepNext w:val="0"/>
              <w:keepLines w:val="0"/>
              <w:pageBreakBefore w:val="0"/>
              <w:kinsoku/>
              <w:wordWrap/>
              <w:overflowPunct/>
              <w:topLinePunct w:val="0"/>
              <w:autoSpaceDE/>
              <w:autoSpaceDN/>
              <w:bidi w:val="0"/>
              <w:adjustRightInd/>
              <w:snapToGrid/>
              <w:spacing w:line="44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生物医药</w:t>
            </w:r>
          </w:p>
        </w:tc>
        <w:tc>
          <w:tcPr>
            <w:tcW w:w="6750" w:type="dxa"/>
            <w:noWrap w:val="0"/>
            <w:vAlign w:val="center"/>
          </w:tcPr>
          <w:p w14:paraId="6AB5E1E9">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left="0" w:leftChars="0" w:right="0" w:rightChars="0"/>
              <w:jc w:val="both"/>
              <w:textAlignment w:val="auto"/>
              <w:rPr>
                <w:rFonts w:hint="default" w:ascii="Times New Roman" w:hAnsi="Times New Roman" w:eastAsia="仿宋_GB2312" w:cs="Times New Roman"/>
                <w:color w:val="auto"/>
                <w:kern w:val="2"/>
                <w:sz w:val="28"/>
                <w:szCs w:val="28"/>
                <w:highlight w:val="none"/>
                <w:lang w:val="en-US" w:eastAsia="zh-CN" w:bidi="ar-SA"/>
              </w:rPr>
            </w:pPr>
            <w:r>
              <w:rPr>
                <w:rFonts w:hint="default" w:ascii="Times New Roman" w:hAnsi="Times New Roman" w:eastAsia="仿宋_GB2312" w:cs="Times New Roman"/>
                <w:color w:val="auto"/>
                <w:kern w:val="0"/>
                <w:sz w:val="28"/>
                <w:szCs w:val="28"/>
                <w:highlight w:val="none"/>
                <w:lang w:val="en-US" w:eastAsia="zh-CN"/>
              </w:rPr>
              <w:t>有源医疗器械的关键技术研究</w:t>
            </w:r>
          </w:p>
        </w:tc>
      </w:tr>
      <w:tr w14:paraId="4CAC6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812" w:type="dxa"/>
            <w:noWrap w:val="0"/>
            <w:vAlign w:val="center"/>
          </w:tcPr>
          <w:p w14:paraId="001986FA">
            <w:pPr>
              <w:keepNext w:val="0"/>
              <w:keepLines w:val="0"/>
              <w:pageBreakBefore w:val="0"/>
              <w:widowControl w:val="0"/>
              <w:numPr>
                <w:ilvl w:val="0"/>
                <w:numId w:val="0"/>
              </w:numPr>
              <w:suppressLineNumbers w:val="0"/>
              <w:kinsoku/>
              <w:wordWrap/>
              <w:overflowPunct/>
              <w:topLinePunct w:val="0"/>
              <w:autoSpaceDE/>
              <w:autoSpaceDN/>
              <w:bidi w:val="0"/>
              <w:adjustRightInd/>
              <w:snapToGrid/>
              <w:spacing w:line="440" w:lineRule="exact"/>
              <w:ind w:left="0" w:leftChars="0" w:firstLine="0" w:firstLineChars="0"/>
              <w:jc w:val="center"/>
              <w:textAlignment w:val="center"/>
              <w:rPr>
                <w:rFonts w:hint="default" w:ascii="Times New Roman" w:hAnsi="Times New Roman" w:eastAsia="仿宋_GB2312" w:cs="Times New Roman"/>
                <w:color w:val="auto"/>
                <w:kern w:val="2"/>
                <w:sz w:val="28"/>
                <w:szCs w:val="28"/>
                <w:highlight w:val="none"/>
                <w:lang w:val="en-US" w:eastAsia="zh-CN" w:bidi="ar-SA"/>
              </w:rPr>
            </w:pPr>
            <w:r>
              <w:rPr>
                <w:rFonts w:hint="default" w:ascii="Times New Roman" w:hAnsi="Times New Roman" w:eastAsia="仿宋_GB2312" w:cs="Times New Roman"/>
                <w:color w:val="auto"/>
                <w:sz w:val="28"/>
                <w:szCs w:val="28"/>
                <w:highlight w:val="none"/>
                <w:lang w:val="en-US" w:eastAsia="zh-CN"/>
              </w:rPr>
              <w:t>10</w:t>
            </w:r>
          </w:p>
        </w:tc>
        <w:tc>
          <w:tcPr>
            <w:tcW w:w="1636" w:type="dxa"/>
            <w:vMerge w:val="continue"/>
            <w:noWrap w:val="0"/>
            <w:vAlign w:val="center"/>
          </w:tcPr>
          <w:p w14:paraId="2CCBC423">
            <w:pPr>
              <w:keepNext w:val="0"/>
              <w:keepLines w:val="0"/>
              <w:pageBreakBefore w:val="0"/>
              <w:kinsoku/>
              <w:wordWrap/>
              <w:overflowPunct/>
              <w:topLinePunct w:val="0"/>
              <w:autoSpaceDE/>
              <w:autoSpaceDN/>
              <w:bidi w:val="0"/>
              <w:adjustRightInd/>
              <w:snapToGrid/>
              <w:spacing w:line="440" w:lineRule="exact"/>
              <w:jc w:val="center"/>
              <w:rPr>
                <w:rFonts w:hint="default" w:ascii="Times New Roman" w:hAnsi="Times New Roman" w:eastAsia="仿宋_GB2312" w:cs="Times New Roman"/>
                <w:color w:val="auto"/>
                <w:sz w:val="28"/>
                <w:szCs w:val="28"/>
                <w:highlight w:val="none"/>
              </w:rPr>
            </w:pPr>
          </w:p>
        </w:tc>
        <w:tc>
          <w:tcPr>
            <w:tcW w:w="6750" w:type="dxa"/>
            <w:noWrap w:val="0"/>
            <w:vAlign w:val="center"/>
          </w:tcPr>
          <w:p w14:paraId="4180D71A">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left="0" w:leftChars="0" w:right="0" w:rightChars="0"/>
              <w:jc w:val="both"/>
              <w:textAlignment w:val="auto"/>
              <w:rPr>
                <w:rFonts w:hint="default" w:ascii="Times New Roman" w:hAnsi="Times New Roman" w:eastAsia="仿宋_GB2312" w:cs="Times New Roman"/>
                <w:color w:val="auto"/>
                <w:kern w:val="2"/>
                <w:sz w:val="28"/>
                <w:szCs w:val="28"/>
                <w:highlight w:val="none"/>
                <w:lang w:val="en-US" w:eastAsia="zh-CN" w:bidi="ar-SA"/>
              </w:rPr>
            </w:pPr>
            <w:r>
              <w:rPr>
                <w:rFonts w:hint="default" w:ascii="Times New Roman" w:hAnsi="Times New Roman" w:eastAsia="仿宋_GB2312" w:cs="Times New Roman"/>
                <w:color w:val="auto"/>
                <w:kern w:val="0"/>
                <w:sz w:val="28"/>
                <w:szCs w:val="28"/>
                <w:highlight w:val="none"/>
                <w:lang w:val="en" w:eastAsia="zh-CN"/>
              </w:rPr>
              <w:t>治疗耐药菌感染特异性抗体的开发</w:t>
            </w:r>
          </w:p>
        </w:tc>
      </w:tr>
      <w:tr w14:paraId="19BBD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812" w:type="dxa"/>
            <w:noWrap w:val="0"/>
            <w:vAlign w:val="center"/>
          </w:tcPr>
          <w:p w14:paraId="6DF86396">
            <w:pPr>
              <w:keepNext w:val="0"/>
              <w:keepLines w:val="0"/>
              <w:pageBreakBefore w:val="0"/>
              <w:widowControl w:val="0"/>
              <w:numPr>
                <w:ilvl w:val="0"/>
                <w:numId w:val="0"/>
              </w:numPr>
              <w:suppressLineNumbers w:val="0"/>
              <w:kinsoku/>
              <w:wordWrap/>
              <w:overflowPunct/>
              <w:topLinePunct w:val="0"/>
              <w:autoSpaceDE/>
              <w:autoSpaceDN/>
              <w:bidi w:val="0"/>
              <w:adjustRightInd/>
              <w:snapToGrid/>
              <w:spacing w:line="440" w:lineRule="exact"/>
              <w:ind w:left="0" w:leftChars="0" w:firstLine="0" w:firstLineChars="0"/>
              <w:jc w:val="center"/>
              <w:textAlignment w:val="center"/>
              <w:rPr>
                <w:rFonts w:hint="default" w:ascii="Times New Roman" w:hAnsi="Times New Roman" w:eastAsia="仿宋_GB2312" w:cs="Times New Roman"/>
                <w:color w:val="auto"/>
                <w:kern w:val="2"/>
                <w:sz w:val="28"/>
                <w:szCs w:val="28"/>
                <w:highlight w:val="none"/>
                <w:lang w:val="en-US" w:eastAsia="zh-CN" w:bidi="ar-SA"/>
              </w:rPr>
            </w:pPr>
            <w:r>
              <w:rPr>
                <w:rFonts w:hint="default" w:ascii="Times New Roman" w:hAnsi="Times New Roman" w:eastAsia="仿宋_GB2312" w:cs="Times New Roman"/>
                <w:color w:val="auto"/>
                <w:sz w:val="28"/>
                <w:szCs w:val="28"/>
                <w:highlight w:val="none"/>
                <w:lang w:val="en-US" w:eastAsia="zh-CN"/>
              </w:rPr>
              <w:t>11</w:t>
            </w:r>
          </w:p>
        </w:tc>
        <w:tc>
          <w:tcPr>
            <w:tcW w:w="1636" w:type="dxa"/>
            <w:vMerge w:val="continue"/>
            <w:noWrap w:val="0"/>
            <w:vAlign w:val="center"/>
          </w:tcPr>
          <w:p w14:paraId="6B144A30">
            <w:pPr>
              <w:keepNext w:val="0"/>
              <w:keepLines w:val="0"/>
              <w:pageBreakBefore w:val="0"/>
              <w:kinsoku/>
              <w:wordWrap/>
              <w:overflowPunct/>
              <w:topLinePunct w:val="0"/>
              <w:autoSpaceDE/>
              <w:autoSpaceDN/>
              <w:bidi w:val="0"/>
              <w:adjustRightInd/>
              <w:snapToGrid/>
              <w:spacing w:line="440" w:lineRule="exact"/>
              <w:jc w:val="center"/>
              <w:rPr>
                <w:rFonts w:hint="default" w:ascii="Times New Roman" w:hAnsi="Times New Roman" w:eastAsia="仿宋_GB2312" w:cs="Times New Roman"/>
                <w:color w:val="auto"/>
                <w:sz w:val="28"/>
                <w:szCs w:val="28"/>
                <w:highlight w:val="none"/>
              </w:rPr>
            </w:pPr>
          </w:p>
        </w:tc>
        <w:tc>
          <w:tcPr>
            <w:tcW w:w="6750" w:type="dxa"/>
            <w:noWrap w:val="0"/>
            <w:vAlign w:val="center"/>
          </w:tcPr>
          <w:p w14:paraId="389BD677">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left="0" w:leftChars="0" w:right="0" w:rightChars="0"/>
              <w:jc w:val="both"/>
              <w:textAlignment w:val="auto"/>
              <w:rPr>
                <w:rFonts w:hint="default" w:ascii="Times New Roman" w:hAnsi="Times New Roman" w:eastAsia="仿宋_GB2312" w:cs="Times New Roman"/>
                <w:color w:val="auto"/>
                <w:kern w:val="2"/>
                <w:sz w:val="28"/>
                <w:szCs w:val="28"/>
                <w:highlight w:val="none"/>
                <w:lang w:val="en-US" w:eastAsia="zh-CN" w:bidi="ar-SA"/>
              </w:rPr>
            </w:pPr>
            <w:r>
              <w:rPr>
                <w:rFonts w:hint="default" w:ascii="Times New Roman" w:hAnsi="Times New Roman" w:eastAsia="仿宋_GB2312" w:cs="Times New Roman"/>
                <w:color w:val="auto"/>
                <w:kern w:val="0"/>
                <w:sz w:val="28"/>
                <w:szCs w:val="28"/>
                <w:highlight w:val="none"/>
                <w:lang w:val="en" w:eastAsia="zh-CN"/>
              </w:rPr>
              <w:t>治疗慢性肾衰等疾病的创新中药开发</w:t>
            </w:r>
          </w:p>
        </w:tc>
      </w:tr>
      <w:tr w14:paraId="43235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812" w:type="dxa"/>
            <w:noWrap w:val="0"/>
            <w:vAlign w:val="center"/>
          </w:tcPr>
          <w:p w14:paraId="7398A0D6">
            <w:pPr>
              <w:keepNext w:val="0"/>
              <w:keepLines w:val="0"/>
              <w:pageBreakBefore w:val="0"/>
              <w:widowControl w:val="0"/>
              <w:numPr>
                <w:ilvl w:val="0"/>
                <w:numId w:val="0"/>
              </w:numPr>
              <w:suppressLineNumbers w:val="0"/>
              <w:kinsoku/>
              <w:wordWrap/>
              <w:overflowPunct/>
              <w:topLinePunct w:val="0"/>
              <w:autoSpaceDE/>
              <w:autoSpaceDN/>
              <w:bidi w:val="0"/>
              <w:adjustRightInd/>
              <w:snapToGrid/>
              <w:spacing w:line="440" w:lineRule="exact"/>
              <w:ind w:left="0" w:leftChars="0" w:firstLine="0" w:firstLineChars="0"/>
              <w:jc w:val="center"/>
              <w:textAlignment w:val="center"/>
              <w:rPr>
                <w:rFonts w:hint="default" w:ascii="Times New Roman" w:hAnsi="Times New Roman" w:eastAsia="仿宋_GB2312" w:cs="Times New Roman"/>
                <w:color w:val="auto"/>
                <w:kern w:val="2"/>
                <w:sz w:val="28"/>
                <w:szCs w:val="28"/>
                <w:highlight w:val="none"/>
                <w:lang w:val="en-US" w:eastAsia="zh-CN" w:bidi="ar-SA"/>
              </w:rPr>
            </w:pPr>
            <w:r>
              <w:rPr>
                <w:rFonts w:hint="default" w:ascii="Times New Roman" w:hAnsi="Times New Roman" w:eastAsia="仿宋_GB2312" w:cs="Times New Roman"/>
                <w:color w:val="auto"/>
                <w:sz w:val="28"/>
                <w:szCs w:val="28"/>
                <w:highlight w:val="none"/>
                <w:lang w:val="en-US" w:eastAsia="zh-CN"/>
              </w:rPr>
              <w:t>12</w:t>
            </w:r>
          </w:p>
        </w:tc>
        <w:tc>
          <w:tcPr>
            <w:tcW w:w="1636" w:type="dxa"/>
            <w:vMerge w:val="continue"/>
            <w:noWrap w:val="0"/>
            <w:vAlign w:val="center"/>
          </w:tcPr>
          <w:p w14:paraId="5DE5BF21">
            <w:pPr>
              <w:keepNext w:val="0"/>
              <w:keepLines w:val="0"/>
              <w:pageBreakBefore w:val="0"/>
              <w:kinsoku/>
              <w:wordWrap/>
              <w:overflowPunct/>
              <w:topLinePunct w:val="0"/>
              <w:autoSpaceDE/>
              <w:autoSpaceDN/>
              <w:bidi w:val="0"/>
              <w:adjustRightInd/>
              <w:snapToGrid/>
              <w:spacing w:line="440" w:lineRule="exact"/>
              <w:jc w:val="center"/>
              <w:rPr>
                <w:rFonts w:hint="default" w:ascii="Times New Roman" w:hAnsi="Times New Roman" w:eastAsia="仿宋_GB2312" w:cs="Times New Roman"/>
                <w:color w:val="auto"/>
                <w:sz w:val="28"/>
                <w:szCs w:val="28"/>
                <w:highlight w:val="none"/>
              </w:rPr>
            </w:pPr>
          </w:p>
        </w:tc>
        <w:tc>
          <w:tcPr>
            <w:tcW w:w="6750" w:type="dxa"/>
            <w:noWrap w:val="0"/>
            <w:vAlign w:val="center"/>
          </w:tcPr>
          <w:p w14:paraId="7405A3D7">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left="0" w:leftChars="0" w:right="0" w:rightChars="0"/>
              <w:jc w:val="both"/>
              <w:textAlignment w:val="auto"/>
              <w:rPr>
                <w:rFonts w:hint="default" w:ascii="Times New Roman" w:hAnsi="Times New Roman" w:eastAsia="仿宋_GB2312" w:cs="Times New Roman"/>
                <w:color w:val="auto"/>
                <w:kern w:val="2"/>
                <w:sz w:val="28"/>
                <w:szCs w:val="28"/>
                <w:highlight w:val="none"/>
                <w:lang w:val="en-US" w:eastAsia="zh-CN" w:bidi="ar-SA"/>
              </w:rPr>
            </w:pPr>
            <w:r>
              <w:rPr>
                <w:rFonts w:hint="default" w:ascii="Times New Roman" w:hAnsi="Times New Roman" w:eastAsia="仿宋_GB2312" w:cs="Times New Roman"/>
                <w:color w:val="auto"/>
                <w:kern w:val="0"/>
                <w:sz w:val="28"/>
                <w:szCs w:val="28"/>
                <w:highlight w:val="none"/>
                <w:lang w:val="en-US" w:eastAsia="zh-CN"/>
              </w:rPr>
              <w:t>已上市中成药关键技术创新及评价</w:t>
            </w:r>
          </w:p>
        </w:tc>
      </w:tr>
      <w:tr w14:paraId="3BB7E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812" w:type="dxa"/>
            <w:noWrap w:val="0"/>
            <w:vAlign w:val="center"/>
          </w:tcPr>
          <w:p w14:paraId="55CFA207">
            <w:pPr>
              <w:keepNext w:val="0"/>
              <w:keepLines w:val="0"/>
              <w:pageBreakBefore w:val="0"/>
              <w:widowControl w:val="0"/>
              <w:numPr>
                <w:ilvl w:val="0"/>
                <w:numId w:val="0"/>
              </w:numPr>
              <w:suppressLineNumbers w:val="0"/>
              <w:kinsoku/>
              <w:wordWrap/>
              <w:overflowPunct/>
              <w:topLinePunct w:val="0"/>
              <w:autoSpaceDE/>
              <w:autoSpaceDN/>
              <w:bidi w:val="0"/>
              <w:adjustRightInd/>
              <w:snapToGrid/>
              <w:spacing w:line="440" w:lineRule="exact"/>
              <w:ind w:left="0" w:leftChars="0" w:firstLine="0" w:firstLineChars="0"/>
              <w:jc w:val="center"/>
              <w:textAlignment w:val="center"/>
              <w:rPr>
                <w:rFonts w:hint="default" w:ascii="Times New Roman" w:hAnsi="Times New Roman" w:eastAsia="仿宋_GB2312" w:cs="Times New Roman"/>
                <w:color w:val="auto"/>
                <w:kern w:val="2"/>
                <w:sz w:val="28"/>
                <w:szCs w:val="28"/>
                <w:highlight w:val="none"/>
                <w:lang w:val="en-US" w:eastAsia="zh-CN" w:bidi="ar-SA"/>
              </w:rPr>
            </w:pPr>
            <w:r>
              <w:rPr>
                <w:rFonts w:hint="default" w:ascii="Times New Roman" w:hAnsi="Times New Roman" w:eastAsia="仿宋_GB2312" w:cs="Times New Roman"/>
                <w:color w:val="auto"/>
                <w:sz w:val="28"/>
                <w:szCs w:val="28"/>
                <w:highlight w:val="none"/>
                <w:lang w:val="en-US" w:eastAsia="zh-CN"/>
              </w:rPr>
              <w:t>13</w:t>
            </w:r>
          </w:p>
        </w:tc>
        <w:tc>
          <w:tcPr>
            <w:tcW w:w="1636" w:type="dxa"/>
            <w:vMerge w:val="continue"/>
            <w:noWrap w:val="0"/>
            <w:vAlign w:val="center"/>
          </w:tcPr>
          <w:p w14:paraId="13E80D3B">
            <w:pPr>
              <w:keepNext w:val="0"/>
              <w:keepLines w:val="0"/>
              <w:pageBreakBefore w:val="0"/>
              <w:kinsoku/>
              <w:wordWrap/>
              <w:overflowPunct/>
              <w:topLinePunct w:val="0"/>
              <w:autoSpaceDE/>
              <w:autoSpaceDN/>
              <w:bidi w:val="0"/>
              <w:adjustRightInd/>
              <w:snapToGrid/>
              <w:spacing w:line="440" w:lineRule="exact"/>
              <w:jc w:val="center"/>
              <w:rPr>
                <w:rFonts w:hint="default" w:ascii="Times New Roman" w:hAnsi="Times New Roman" w:eastAsia="仿宋_GB2312" w:cs="Times New Roman"/>
                <w:color w:val="auto"/>
                <w:sz w:val="28"/>
                <w:szCs w:val="28"/>
                <w:highlight w:val="none"/>
              </w:rPr>
            </w:pPr>
          </w:p>
        </w:tc>
        <w:tc>
          <w:tcPr>
            <w:tcW w:w="6750" w:type="dxa"/>
            <w:noWrap w:val="0"/>
            <w:vAlign w:val="center"/>
          </w:tcPr>
          <w:p w14:paraId="2A3D547E">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left="0" w:leftChars="0" w:right="0" w:rightChars="0"/>
              <w:jc w:val="both"/>
              <w:textAlignment w:val="auto"/>
              <w:rPr>
                <w:rFonts w:hint="default" w:ascii="Times New Roman" w:hAnsi="Times New Roman" w:eastAsia="仿宋_GB2312" w:cs="Times New Roman"/>
                <w:color w:val="auto"/>
                <w:kern w:val="2"/>
                <w:sz w:val="28"/>
                <w:szCs w:val="28"/>
                <w:highlight w:val="none"/>
                <w:lang w:val="en-US" w:eastAsia="zh-CN" w:bidi="ar-SA"/>
              </w:rPr>
            </w:pPr>
            <w:r>
              <w:rPr>
                <w:rFonts w:hint="default" w:ascii="Times New Roman" w:hAnsi="Times New Roman" w:eastAsia="仿宋_GB2312" w:cs="Times New Roman"/>
                <w:color w:val="auto"/>
                <w:kern w:val="0"/>
                <w:sz w:val="28"/>
                <w:szCs w:val="28"/>
                <w:highlight w:val="none"/>
                <w:lang w:val="en-US" w:eastAsia="zh-CN"/>
              </w:rPr>
              <w:t>同名同方中药的开发</w:t>
            </w:r>
          </w:p>
        </w:tc>
      </w:tr>
      <w:tr w14:paraId="27A2D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812" w:type="dxa"/>
            <w:noWrap w:val="0"/>
            <w:vAlign w:val="center"/>
          </w:tcPr>
          <w:p w14:paraId="1B4C6828">
            <w:pPr>
              <w:keepNext w:val="0"/>
              <w:keepLines w:val="0"/>
              <w:pageBreakBefore w:val="0"/>
              <w:widowControl w:val="0"/>
              <w:numPr>
                <w:ilvl w:val="0"/>
                <w:numId w:val="0"/>
              </w:numPr>
              <w:suppressLineNumbers w:val="0"/>
              <w:kinsoku/>
              <w:wordWrap/>
              <w:overflowPunct/>
              <w:topLinePunct w:val="0"/>
              <w:autoSpaceDE/>
              <w:autoSpaceDN/>
              <w:bidi w:val="0"/>
              <w:adjustRightInd/>
              <w:snapToGrid/>
              <w:spacing w:line="440" w:lineRule="exact"/>
              <w:ind w:left="0" w:leftChars="0" w:firstLine="0" w:firstLineChars="0"/>
              <w:jc w:val="center"/>
              <w:textAlignment w:val="center"/>
              <w:rPr>
                <w:rFonts w:hint="default" w:ascii="Times New Roman" w:hAnsi="Times New Roman" w:eastAsia="仿宋_GB2312" w:cs="Times New Roman"/>
                <w:color w:val="auto"/>
                <w:kern w:val="2"/>
                <w:sz w:val="28"/>
                <w:szCs w:val="28"/>
                <w:highlight w:val="none"/>
                <w:lang w:val="en-US" w:eastAsia="zh-CN" w:bidi="ar-SA"/>
              </w:rPr>
            </w:pPr>
            <w:r>
              <w:rPr>
                <w:rFonts w:hint="default" w:ascii="Times New Roman" w:hAnsi="Times New Roman" w:eastAsia="仿宋_GB2312" w:cs="Times New Roman"/>
                <w:color w:val="auto"/>
                <w:sz w:val="28"/>
                <w:szCs w:val="28"/>
                <w:highlight w:val="none"/>
                <w:lang w:val="en-US" w:eastAsia="zh-CN"/>
              </w:rPr>
              <w:t>14</w:t>
            </w:r>
          </w:p>
        </w:tc>
        <w:tc>
          <w:tcPr>
            <w:tcW w:w="1636" w:type="dxa"/>
            <w:vMerge w:val="continue"/>
            <w:noWrap w:val="0"/>
            <w:vAlign w:val="center"/>
          </w:tcPr>
          <w:p w14:paraId="07BB27B7">
            <w:pPr>
              <w:keepNext w:val="0"/>
              <w:keepLines w:val="0"/>
              <w:pageBreakBefore w:val="0"/>
              <w:kinsoku/>
              <w:wordWrap/>
              <w:overflowPunct/>
              <w:topLinePunct w:val="0"/>
              <w:autoSpaceDE/>
              <w:autoSpaceDN/>
              <w:bidi w:val="0"/>
              <w:adjustRightInd/>
              <w:snapToGrid/>
              <w:spacing w:line="440" w:lineRule="exact"/>
              <w:jc w:val="center"/>
              <w:rPr>
                <w:rFonts w:hint="default" w:ascii="Times New Roman" w:hAnsi="Times New Roman" w:eastAsia="仿宋_GB2312" w:cs="Times New Roman"/>
                <w:color w:val="auto"/>
                <w:sz w:val="28"/>
                <w:szCs w:val="28"/>
                <w:highlight w:val="none"/>
              </w:rPr>
            </w:pPr>
          </w:p>
        </w:tc>
        <w:tc>
          <w:tcPr>
            <w:tcW w:w="6750" w:type="dxa"/>
            <w:noWrap w:val="0"/>
            <w:vAlign w:val="center"/>
          </w:tcPr>
          <w:p w14:paraId="3C7810CE">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left="0" w:leftChars="0" w:right="0" w:rightChars="0"/>
              <w:jc w:val="both"/>
              <w:textAlignment w:val="auto"/>
              <w:rPr>
                <w:rFonts w:hint="default" w:ascii="Times New Roman" w:hAnsi="Times New Roman" w:eastAsia="仿宋_GB2312" w:cs="Times New Roman"/>
                <w:color w:val="auto"/>
                <w:kern w:val="2"/>
                <w:sz w:val="28"/>
                <w:szCs w:val="28"/>
                <w:highlight w:val="none"/>
                <w:lang w:val="en-US" w:eastAsia="zh-CN" w:bidi="ar-SA"/>
              </w:rPr>
            </w:pPr>
            <w:r>
              <w:rPr>
                <w:rFonts w:hint="default" w:ascii="Times New Roman" w:hAnsi="Times New Roman" w:eastAsia="仿宋_GB2312" w:cs="Times New Roman"/>
                <w:color w:val="auto"/>
                <w:kern w:val="0"/>
                <w:sz w:val="28"/>
                <w:szCs w:val="28"/>
                <w:highlight w:val="none"/>
                <w:lang w:eastAsia="zh-CN"/>
              </w:rPr>
              <w:t>强侵袭性</w:t>
            </w:r>
            <w:r>
              <w:rPr>
                <w:rFonts w:hint="default" w:ascii="Times New Roman" w:hAnsi="Times New Roman" w:eastAsia="仿宋_GB2312" w:cs="Times New Roman"/>
                <w:color w:val="auto"/>
                <w:kern w:val="0"/>
                <w:sz w:val="28"/>
                <w:szCs w:val="28"/>
                <w:highlight w:val="none"/>
                <w:lang w:val="en-US" w:eastAsia="zh-CN"/>
              </w:rPr>
              <w:t>肿瘤</w:t>
            </w:r>
            <w:r>
              <w:rPr>
                <w:rFonts w:hint="default" w:ascii="Times New Roman" w:hAnsi="Times New Roman" w:eastAsia="仿宋_GB2312" w:cs="Times New Roman"/>
                <w:color w:val="auto"/>
                <w:kern w:val="0"/>
                <w:sz w:val="28"/>
                <w:szCs w:val="28"/>
                <w:highlight w:val="none"/>
              </w:rPr>
              <w:t>标志物检测技术研究及试剂的开发</w:t>
            </w:r>
          </w:p>
        </w:tc>
      </w:tr>
      <w:tr w14:paraId="2516C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2" w:type="dxa"/>
            <w:noWrap w:val="0"/>
            <w:vAlign w:val="center"/>
          </w:tcPr>
          <w:p w14:paraId="65EFB275">
            <w:pPr>
              <w:keepNext w:val="0"/>
              <w:keepLines w:val="0"/>
              <w:pageBreakBefore w:val="0"/>
              <w:widowControl w:val="0"/>
              <w:numPr>
                <w:ilvl w:val="0"/>
                <w:numId w:val="0"/>
              </w:numPr>
              <w:suppressLineNumbers w:val="0"/>
              <w:kinsoku/>
              <w:wordWrap/>
              <w:overflowPunct/>
              <w:topLinePunct w:val="0"/>
              <w:autoSpaceDE/>
              <w:autoSpaceDN/>
              <w:bidi w:val="0"/>
              <w:adjustRightInd/>
              <w:snapToGrid/>
              <w:spacing w:line="440" w:lineRule="exact"/>
              <w:ind w:left="0" w:leftChars="0" w:firstLine="0" w:firstLineChars="0"/>
              <w:jc w:val="center"/>
              <w:textAlignment w:val="center"/>
              <w:rPr>
                <w:rFonts w:hint="default" w:ascii="Times New Roman" w:hAnsi="Times New Roman" w:eastAsia="仿宋_GB2312" w:cs="Times New Roman"/>
                <w:color w:val="auto"/>
                <w:kern w:val="2"/>
                <w:sz w:val="28"/>
                <w:szCs w:val="28"/>
                <w:highlight w:val="none"/>
                <w:lang w:val="en-US" w:eastAsia="zh-CN" w:bidi="ar-SA"/>
              </w:rPr>
            </w:pPr>
            <w:r>
              <w:rPr>
                <w:rFonts w:hint="default" w:ascii="Times New Roman" w:hAnsi="Times New Roman" w:eastAsia="仿宋_GB2312" w:cs="Times New Roman"/>
                <w:color w:val="auto"/>
                <w:sz w:val="28"/>
                <w:szCs w:val="28"/>
                <w:highlight w:val="none"/>
                <w:lang w:val="en-US" w:eastAsia="zh-CN"/>
              </w:rPr>
              <w:t>15</w:t>
            </w:r>
          </w:p>
        </w:tc>
        <w:tc>
          <w:tcPr>
            <w:tcW w:w="1636" w:type="dxa"/>
            <w:vMerge w:val="continue"/>
            <w:noWrap w:val="0"/>
            <w:vAlign w:val="center"/>
          </w:tcPr>
          <w:p w14:paraId="337E5415">
            <w:pPr>
              <w:keepNext w:val="0"/>
              <w:keepLines w:val="0"/>
              <w:pageBreakBefore w:val="0"/>
              <w:kinsoku/>
              <w:wordWrap/>
              <w:overflowPunct/>
              <w:topLinePunct w:val="0"/>
              <w:autoSpaceDE/>
              <w:autoSpaceDN/>
              <w:bidi w:val="0"/>
              <w:adjustRightInd/>
              <w:snapToGrid/>
              <w:spacing w:line="440" w:lineRule="exact"/>
              <w:jc w:val="center"/>
              <w:rPr>
                <w:rFonts w:hint="default" w:ascii="Times New Roman" w:hAnsi="Times New Roman" w:eastAsia="仿宋_GB2312" w:cs="Times New Roman"/>
                <w:color w:val="auto"/>
                <w:sz w:val="28"/>
                <w:szCs w:val="28"/>
                <w:highlight w:val="none"/>
              </w:rPr>
            </w:pPr>
          </w:p>
        </w:tc>
        <w:tc>
          <w:tcPr>
            <w:tcW w:w="6750" w:type="dxa"/>
            <w:noWrap w:val="0"/>
            <w:vAlign w:val="center"/>
          </w:tcPr>
          <w:p w14:paraId="02F92046">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left="0" w:leftChars="0" w:right="0" w:rightChars="0"/>
              <w:jc w:val="both"/>
              <w:textAlignment w:val="auto"/>
              <w:rPr>
                <w:rFonts w:hint="default" w:ascii="Times New Roman" w:hAnsi="Times New Roman" w:eastAsia="仿宋_GB2312" w:cs="Times New Roman"/>
                <w:color w:val="auto"/>
                <w:kern w:val="2"/>
                <w:sz w:val="28"/>
                <w:szCs w:val="28"/>
                <w:highlight w:val="none"/>
                <w:lang w:val="en-US" w:eastAsia="zh-CN" w:bidi="ar-SA"/>
              </w:rPr>
            </w:pPr>
            <w:r>
              <w:rPr>
                <w:rFonts w:hint="default" w:ascii="Times New Roman" w:hAnsi="Times New Roman" w:eastAsia="仿宋_GB2312" w:cs="Times New Roman"/>
                <w:color w:val="auto"/>
                <w:kern w:val="0"/>
                <w:sz w:val="28"/>
                <w:szCs w:val="28"/>
                <w:highlight w:val="none"/>
                <w:lang w:val="en" w:eastAsia="zh-CN"/>
              </w:rPr>
              <w:t>维生素及其中间体</w:t>
            </w:r>
            <w:r>
              <w:rPr>
                <w:rFonts w:hint="default" w:ascii="Times New Roman" w:hAnsi="Times New Roman" w:eastAsia="仿宋_GB2312" w:cs="Times New Roman"/>
                <w:color w:val="auto"/>
                <w:kern w:val="0"/>
                <w:sz w:val="28"/>
                <w:szCs w:val="28"/>
                <w:highlight w:val="none"/>
                <w:lang w:val="en-US" w:eastAsia="zh-CN"/>
              </w:rPr>
              <w:t>生物制造</w:t>
            </w:r>
            <w:r>
              <w:rPr>
                <w:rFonts w:hint="default" w:ascii="Times New Roman" w:hAnsi="Times New Roman" w:eastAsia="仿宋_GB2312" w:cs="Times New Roman"/>
                <w:color w:val="auto"/>
                <w:kern w:val="0"/>
                <w:sz w:val="28"/>
                <w:szCs w:val="28"/>
                <w:highlight w:val="none"/>
                <w:lang w:val="en" w:eastAsia="zh-CN"/>
              </w:rPr>
              <w:t>关键技术研发</w:t>
            </w:r>
            <w:r>
              <w:rPr>
                <w:rFonts w:hint="default" w:ascii="Times New Roman" w:hAnsi="Times New Roman" w:eastAsia="仿宋_GB2312" w:cs="Times New Roman"/>
                <w:color w:val="auto"/>
                <w:kern w:val="0"/>
                <w:sz w:val="28"/>
                <w:szCs w:val="28"/>
                <w:highlight w:val="none"/>
                <w:lang w:val="en-US" w:eastAsia="zh-CN"/>
              </w:rPr>
              <w:t>与生产示范</w:t>
            </w:r>
          </w:p>
        </w:tc>
      </w:tr>
      <w:tr w14:paraId="48CD5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812" w:type="dxa"/>
            <w:noWrap w:val="0"/>
            <w:vAlign w:val="center"/>
          </w:tcPr>
          <w:p w14:paraId="5762D71D">
            <w:pPr>
              <w:keepNext w:val="0"/>
              <w:keepLines w:val="0"/>
              <w:pageBreakBefore w:val="0"/>
              <w:widowControl w:val="0"/>
              <w:numPr>
                <w:ilvl w:val="0"/>
                <w:numId w:val="0"/>
              </w:numPr>
              <w:suppressLineNumbers w:val="0"/>
              <w:kinsoku/>
              <w:wordWrap/>
              <w:overflowPunct/>
              <w:topLinePunct w:val="0"/>
              <w:autoSpaceDE/>
              <w:autoSpaceDN/>
              <w:bidi w:val="0"/>
              <w:adjustRightInd/>
              <w:snapToGrid/>
              <w:spacing w:line="440" w:lineRule="exact"/>
              <w:ind w:left="0" w:leftChars="0" w:firstLine="0" w:firstLineChars="0"/>
              <w:jc w:val="center"/>
              <w:textAlignment w:val="center"/>
              <w:rPr>
                <w:rFonts w:hint="default" w:ascii="Times New Roman" w:hAnsi="Times New Roman" w:eastAsia="仿宋_GB2312" w:cs="Times New Roman"/>
                <w:color w:val="auto"/>
                <w:kern w:val="2"/>
                <w:sz w:val="28"/>
                <w:szCs w:val="28"/>
                <w:highlight w:val="none"/>
                <w:lang w:val="en-US" w:eastAsia="zh-CN" w:bidi="ar-SA"/>
              </w:rPr>
            </w:pPr>
            <w:r>
              <w:rPr>
                <w:rFonts w:hint="default" w:ascii="Times New Roman" w:hAnsi="Times New Roman" w:eastAsia="仿宋_GB2312" w:cs="Times New Roman"/>
                <w:color w:val="auto"/>
                <w:sz w:val="28"/>
                <w:szCs w:val="28"/>
                <w:highlight w:val="none"/>
                <w:lang w:val="en-US" w:eastAsia="zh-CN"/>
              </w:rPr>
              <w:t>16</w:t>
            </w:r>
          </w:p>
        </w:tc>
        <w:tc>
          <w:tcPr>
            <w:tcW w:w="1636" w:type="dxa"/>
            <w:vMerge w:val="continue"/>
            <w:noWrap w:val="0"/>
            <w:vAlign w:val="center"/>
          </w:tcPr>
          <w:p w14:paraId="1C2AEA6A">
            <w:pPr>
              <w:keepNext w:val="0"/>
              <w:keepLines w:val="0"/>
              <w:pageBreakBefore w:val="0"/>
              <w:kinsoku/>
              <w:wordWrap/>
              <w:overflowPunct/>
              <w:topLinePunct w:val="0"/>
              <w:autoSpaceDE/>
              <w:autoSpaceDN/>
              <w:bidi w:val="0"/>
              <w:adjustRightInd/>
              <w:snapToGrid/>
              <w:spacing w:line="440" w:lineRule="exact"/>
              <w:jc w:val="center"/>
              <w:rPr>
                <w:rFonts w:hint="default" w:ascii="Times New Roman" w:hAnsi="Times New Roman" w:eastAsia="仿宋_GB2312" w:cs="Times New Roman"/>
                <w:color w:val="auto"/>
                <w:sz w:val="28"/>
                <w:szCs w:val="28"/>
                <w:highlight w:val="none"/>
              </w:rPr>
            </w:pPr>
          </w:p>
        </w:tc>
        <w:tc>
          <w:tcPr>
            <w:tcW w:w="6750" w:type="dxa"/>
            <w:noWrap w:val="0"/>
            <w:vAlign w:val="center"/>
          </w:tcPr>
          <w:p w14:paraId="135FE7B7">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left="0" w:leftChars="0" w:right="0" w:rightChars="0"/>
              <w:jc w:val="both"/>
              <w:textAlignment w:val="auto"/>
              <w:rPr>
                <w:rFonts w:hint="default" w:ascii="Times New Roman" w:hAnsi="Times New Roman" w:eastAsia="仿宋_GB2312" w:cs="Times New Roman"/>
                <w:color w:val="auto"/>
                <w:kern w:val="2"/>
                <w:sz w:val="28"/>
                <w:szCs w:val="28"/>
                <w:highlight w:val="none"/>
                <w:lang w:val="en-US" w:eastAsia="zh-CN" w:bidi="ar-SA"/>
              </w:rPr>
            </w:pPr>
            <w:r>
              <w:rPr>
                <w:rFonts w:hint="default" w:ascii="Times New Roman" w:hAnsi="Times New Roman" w:eastAsia="仿宋_GB2312" w:cs="Times New Roman"/>
                <w:color w:val="auto"/>
                <w:kern w:val="0"/>
                <w:sz w:val="28"/>
                <w:szCs w:val="28"/>
                <w:highlight w:val="none"/>
                <w:lang w:val="en-US" w:eastAsia="zh-CN"/>
              </w:rPr>
              <w:t>治疗乳腺癌、前列腺癌、肺癌等创新药的临床研究</w:t>
            </w:r>
          </w:p>
        </w:tc>
      </w:tr>
      <w:tr w14:paraId="64C08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812" w:type="dxa"/>
            <w:noWrap w:val="0"/>
            <w:vAlign w:val="center"/>
          </w:tcPr>
          <w:p w14:paraId="5FFD1514">
            <w:pPr>
              <w:keepNext w:val="0"/>
              <w:keepLines w:val="0"/>
              <w:pageBreakBefore w:val="0"/>
              <w:widowControl w:val="0"/>
              <w:numPr>
                <w:ilvl w:val="0"/>
                <w:numId w:val="0"/>
              </w:numPr>
              <w:suppressLineNumbers w:val="0"/>
              <w:kinsoku/>
              <w:wordWrap/>
              <w:overflowPunct/>
              <w:topLinePunct w:val="0"/>
              <w:autoSpaceDE/>
              <w:autoSpaceDN/>
              <w:bidi w:val="0"/>
              <w:adjustRightInd/>
              <w:snapToGrid/>
              <w:spacing w:line="440" w:lineRule="exact"/>
              <w:ind w:left="0" w:leftChars="0" w:firstLine="0" w:firstLineChars="0"/>
              <w:jc w:val="center"/>
              <w:textAlignment w:val="center"/>
              <w:rPr>
                <w:rFonts w:hint="default" w:ascii="Times New Roman" w:hAnsi="Times New Roman" w:eastAsia="仿宋_GB2312" w:cs="Times New Roman"/>
                <w:color w:val="auto"/>
                <w:kern w:val="2"/>
                <w:sz w:val="28"/>
                <w:szCs w:val="28"/>
                <w:highlight w:val="none"/>
                <w:lang w:val="en-US" w:eastAsia="zh-CN" w:bidi="ar-SA"/>
              </w:rPr>
            </w:pPr>
            <w:r>
              <w:rPr>
                <w:rFonts w:hint="default" w:ascii="Times New Roman" w:hAnsi="Times New Roman" w:eastAsia="仿宋_GB2312" w:cs="Times New Roman"/>
                <w:color w:val="auto"/>
                <w:sz w:val="28"/>
                <w:szCs w:val="28"/>
                <w:highlight w:val="none"/>
                <w:lang w:val="en-US" w:eastAsia="zh-CN"/>
              </w:rPr>
              <w:t>17</w:t>
            </w:r>
          </w:p>
        </w:tc>
        <w:tc>
          <w:tcPr>
            <w:tcW w:w="1636" w:type="dxa"/>
            <w:vMerge w:val="continue"/>
            <w:noWrap w:val="0"/>
            <w:vAlign w:val="center"/>
          </w:tcPr>
          <w:p w14:paraId="273AA6F1">
            <w:pPr>
              <w:keepNext w:val="0"/>
              <w:keepLines w:val="0"/>
              <w:pageBreakBefore w:val="0"/>
              <w:kinsoku/>
              <w:wordWrap/>
              <w:overflowPunct/>
              <w:topLinePunct w:val="0"/>
              <w:autoSpaceDE/>
              <w:autoSpaceDN/>
              <w:bidi w:val="0"/>
              <w:adjustRightInd/>
              <w:snapToGrid/>
              <w:spacing w:line="440" w:lineRule="exact"/>
              <w:jc w:val="center"/>
              <w:rPr>
                <w:rFonts w:hint="default" w:ascii="Times New Roman" w:hAnsi="Times New Roman" w:eastAsia="仿宋_GB2312" w:cs="Times New Roman"/>
                <w:color w:val="auto"/>
                <w:sz w:val="28"/>
                <w:szCs w:val="28"/>
                <w:highlight w:val="none"/>
              </w:rPr>
            </w:pPr>
          </w:p>
        </w:tc>
        <w:tc>
          <w:tcPr>
            <w:tcW w:w="6750" w:type="dxa"/>
            <w:noWrap w:val="0"/>
            <w:vAlign w:val="center"/>
          </w:tcPr>
          <w:p w14:paraId="6AA32454">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left="0" w:leftChars="0" w:right="0" w:rightChars="0"/>
              <w:jc w:val="both"/>
              <w:textAlignment w:val="auto"/>
              <w:rPr>
                <w:rFonts w:hint="default" w:ascii="Times New Roman" w:hAnsi="Times New Roman" w:eastAsia="仿宋_GB2312" w:cs="Times New Roman"/>
                <w:color w:val="auto"/>
                <w:kern w:val="2"/>
                <w:sz w:val="28"/>
                <w:szCs w:val="28"/>
                <w:highlight w:val="none"/>
                <w:lang w:val="en-US" w:eastAsia="zh-CN" w:bidi="ar-SA"/>
              </w:rPr>
            </w:pPr>
            <w:r>
              <w:rPr>
                <w:rFonts w:hint="default" w:ascii="Times New Roman" w:hAnsi="Times New Roman" w:eastAsia="仿宋_GB2312" w:cs="Times New Roman"/>
                <w:color w:val="auto"/>
                <w:kern w:val="0"/>
                <w:sz w:val="28"/>
                <w:szCs w:val="28"/>
                <w:highlight w:val="none"/>
                <w:lang w:val="en-US" w:eastAsia="zh-CN"/>
              </w:rPr>
              <w:t>原料药及药物中间体绿色制造技术研究及产业化</w:t>
            </w:r>
          </w:p>
        </w:tc>
      </w:tr>
      <w:tr w14:paraId="6ABB9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2" w:type="dxa"/>
            <w:noWrap w:val="0"/>
            <w:vAlign w:val="center"/>
          </w:tcPr>
          <w:p w14:paraId="6CE8AD9B">
            <w:pPr>
              <w:keepNext w:val="0"/>
              <w:keepLines w:val="0"/>
              <w:pageBreakBefore w:val="0"/>
              <w:widowControl w:val="0"/>
              <w:numPr>
                <w:ilvl w:val="0"/>
                <w:numId w:val="0"/>
              </w:numPr>
              <w:suppressLineNumbers w:val="0"/>
              <w:kinsoku/>
              <w:wordWrap/>
              <w:overflowPunct/>
              <w:topLinePunct w:val="0"/>
              <w:autoSpaceDE/>
              <w:autoSpaceDN/>
              <w:bidi w:val="0"/>
              <w:adjustRightInd/>
              <w:snapToGrid/>
              <w:spacing w:line="440" w:lineRule="exact"/>
              <w:ind w:left="0" w:leftChars="0" w:firstLine="0" w:firstLineChars="0"/>
              <w:jc w:val="center"/>
              <w:textAlignment w:val="center"/>
              <w:rPr>
                <w:rFonts w:hint="default" w:ascii="Times New Roman" w:hAnsi="Times New Roman" w:eastAsia="仿宋_GB2312" w:cs="Times New Roman"/>
                <w:i w:val="0"/>
                <w:iCs w:val="0"/>
                <w:color w:val="auto"/>
                <w:kern w:val="0"/>
                <w:sz w:val="28"/>
                <w:szCs w:val="28"/>
                <w:highlight w:val="none"/>
                <w:u w:val="none"/>
                <w:lang w:val="en-US" w:eastAsia="zh-CN" w:bidi="ar"/>
              </w:rPr>
            </w:pPr>
            <w:r>
              <w:rPr>
                <w:rFonts w:hint="default" w:ascii="Times New Roman" w:hAnsi="Times New Roman" w:eastAsia="仿宋_GB2312" w:cs="Times New Roman"/>
                <w:i w:val="0"/>
                <w:iCs w:val="0"/>
                <w:color w:val="auto"/>
                <w:kern w:val="0"/>
                <w:sz w:val="28"/>
                <w:szCs w:val="28"/>
                <w:highlight w:val="none"/>
                <w:u w:val="none"/>
                <w:lang w:val="en-US" w:eastAsia="zh-CN" w:bidi="ar"/>
              </w:rPr>
              <w:t>18</w:t>
            </w:r>
          </w:p>
        </w:tc>
        <w:tc>
          <w:tcPr>
            <w:tcW w:w="1636" w:type="dxa"/>
            <w:vMerge w:val="continue"/>
            <w:noWrap w:val="0"/>
            <w:vAlign w:val="center"/>
          </w:tcPr>
          <w:p w14:paraId="6CEBA36E">
            <w:pPr>
              <w:keepNext w:val="0"/>
              <w:keepLines w:val="0"/>
              <w:pageBreakBefore w:val="0"/>
              <w:kinsoku/>
              <w:wordWrap/>
              <w:overflowPunct/>
              <w:topLinePunct w:val="0"/>
              <w:autoSpaceDE/>
              <w:autoSpaceDN/>
              <w:bidi w:val="0"/>
              <w:adjustRightInd/>
              <w:snapToGrid/>
              <w:spacing w:line="440" w:lineRule="exact"/>
              <w:jc w:val="center"/>
              <w:rPr>
                <w:rFonts w:hint="default" w:ascii="Times New Roman" w:hAnsi="Times New Roman" w:eastAsia="仿宋_GB2312" w:cs="Times New Roman"/>
                <w:color w:val="auto"/>
                <w:sz w:val="28"/>
                <w:szCs w:val="28"/>
                <w:highlight w:val="none"/>
              </w:rPr>
            </w:pPr>
          </w:p>
        </w:tc>
        <w:tc>
          <w:tcPr>
            <w:tcW w:w="6750" w:type="dxa"/>
            <w:noWrap w:val="0"/>
            <w:vAlign w:val="center"/>
          </w:tcPr>
          <w:p w14:paraId="57193262">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left="0" w:leftChars="0" w:right="0" w:rightChars="0"/>
              <w:jc w:val="both"/>
              <w:textAlignment w:val="auto"/>
              <w:rPr>
                <w:rFonts w:hint="default" w:ascii="Times New Roman" w:hAnsi="Times New Roman" w:eastAsia="仿宋_GB2312" w:cs="Times New Roman"/>
                <w:color w:val="auto"/>
                <w:kern w:val="2"/>
                <w:sz w:val="28"/>
                <w:szCs w:val="28"/>
                <w:highlight w:val="none"/>
                <w:lang w:val="en-US" w:eastAsia="zh-CN" w:bidi="ar-SA"/>
              </w:rPr>
            </w:pPr>
            <w:r>
              <w:rPr>
                <w:rFonts w:hint="default" w:ascii="Times New Roman" w:hAnsi="Times New Roman" w:eastAsia="仿宋_GB2312" w:cs="Times New Roman"/>
                <w:color w:val="auto"/>
                <w:kern w:val="0"/>
                <w:sz w:val="28"/>
                <w:szCs w:val="28"/>
                <w:highlight w:val="none"/>
                <w:lang w:val="en-US" w:eastAsia="zh-CN"/>
              </w:rPr>
              <w:t>治疗中枢神经系统疾病高质量仿制药关键技术研究</w:t>
            </w:r>
          </w:p>
        </w:tc>
      </w:tr>
      <w:tr w14:paraId="5BE26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812" w:type="dxa"/>
            <w:noWrap w:val="0"/>
            <w:vAlign w:val="center"/>
          </w:tcPr>
          <w:p w14:paraId="5EE89AA9">
            <w:pPr>
              <w:keepNext w:val="0"/>
              <w:keepLines w:val="0"/>
              <w:pageBreakBefore w:val="0"/>
              <w:widowControl w:val="0"/>
              <w:numPr>
                <w:ilvl w:val="0"/>
                <w:numId w:val="0"/>
              </w:numPr>
              <w:suppressLineNumbers w:val="0"/>
              <w:kinsoku/>
              <w:wordWrap/>
              <w:overflowPunct/>
              <w:topLinePunct w:val="0"/>
              <w:autoSpaceDE/>
              <w:autoSpaceDN/>
              <w:bidi w:val="0"/>
              <w:adjustRightInd/>
              <w:snapToGrid/>
              <w:spacing w:line="440" w:lineRule="exact"/>
              <w:ind w:left="0" w:leftChars="0" w:firstLine="0" w:firstLineChars="0"/>
              <w:jc w:val="center"/>
              <w:textAlignment w:val="center"/>
              <w:rPr>
                <w:rFonts w:hint="default" w:ascii="Times New Roman" w:hAnsi="Times New Roman" w:eastAsia="仿宋_GB2312" w:cs="Times New Roman"/>
                <w:i w:val="0"/>
                <w:iCs w:val="0"/>
                <w:color w:val="auto"/>
                <w:kern w:val="0"/>
                <w:sz w:val="28"/>
                <w:szCs w:val="28"/>
                <w:highlight w:val="none"/>
                <w:u w:val="none"/>
                <w:lang w:val="en-US" w:eastAsia="zh-CN" w:bidi="ar"/>
              </w:rPr>
            </w:pPr>
            <w:r>
              <w:rPr>
                <w:rFonts w:hint="default" w:ascii="Times New Roman" w:hAnsi="Times New Roman" w:eastAsia="仿宋_GB2312" w:cs="Times New Roman"/>
                <w:i w:val="0"/>
                <w:iCs w:val="0"/>
                <w:color w:val="auto"/>
                <w:kern w:val="0"/>
                <w:sz w:val="28"/>
                <w:szCs w:val="28"/>
                <w:highlight w:val="none"/>
                <w:u w:val="none"/>
                <w:lang w:val="en-US" w:eastAsia="zh-CN" w:bidi="ar"/>
              </w:rPr>
              <w:t>19</w:t>
            </w:r>
          </w:p>
        </w:tc>
        <w:tc>
          <w:tcPr>
            <w:tcW w:w="1636" w:type="dxa"/>
            <w:vMerge w:val="continue"/>
            <w:noWrap w:val="0"/>
            <w:vAlign w:val="center"/>
          </w:tcPr>
          <w:p w14:paraId="3FFC8875">
            <w:pPr>
              <w:keepNext w:val="0"/>
              <w:keepLines w:val="0"/>
              <w:pageBreakBefore w:val="0"/>
              <w:kinsoku/>
              <w:wordWrap/>
              <w:overflowPunct/>
              <w:topLinePunct w:val="0"/>
              <w:autoSpaceDE/>
              <w:autoSpaceDN/>
              <w:bidi w:val="0"/>
              <w:adjustRightInd/>
              <w:snapToGrid/>
              <w:spacing w:line="440" w:lineRule="exact"/>
              <w:jc w:val="center"/>
              <w:rPr>
                <w:rFonts w:hint="default" w:ascii="Times New Roman" w:hAnsi="Times New Roman" w:eastAsia="仿宋_GB2312" w:cs="Times New Roman"/>
                <w:color w:val="auto"/>
                <w:sz w:val="28"/>
                <w:szCs w:val="28"/>
                <w:highlight w:val="none"/>
              </w:rPr>
            </w:pPr>
          </w:p>
        </w:tc>
        <w:tc>
          <w:tcPr>
            <w:tcW w:w="6750" w:type="dxa"/>
            <w:noWrap w:val="0"/>
            <w:vAlign w:val="center"/>
          </w:tcPr>
          <w:p w14:paraId="7563C741">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left="0" w:leftChars="0" w:right="0" w:rightChars="0"/>
              <w:jc w:val="both"/>
              <w:textAlignment w:val="auto"/>
              <w:rPr>
                <w:rFonts w:hint="default" w:ascii="Times New Roman" w:hAnsi="Times New Roman" w:eastAsia="仿宋_GB2312" w:cs="Times New Roman"/>
                <w:color w:val="auto"/>
                <w:kern w:val="2"/>
                <w:sz w:val="28"/>
                <w:szCs w:val="28"/>
                <w:highlight w:val="none"/>
                <w:lang w:val="en-US" w:eastAsia="zh-CN" w:bidi="ar-SA"/>
              </w:rPr>
            </w:pPr>
            <w:r>
              <w:rPr>
                <w:rFonts w:hint="default" w:ascii="Times New Roman" w:hAnsi="Times New Roman" w:eastAsia="仿宋_GB2312" w:cs="Times New Roman"/>
                <w:color w:val="auto"/>
                <w:kern w:val="0"/>
                <w:sz w:val="28"/>
                <w:szCs w:val="28"/>
                <w:highlight w:val="none"/>
                <w:lang w:val="en-US" w:eastAsia="zh-CN"/>
              </w:rPr>
              <w:t>治疗II型糖尿病等疾病的医疗机构中药制剂开发</w:t>
            </w:r>
          </w:p>
        </w:tc>
      </w:tr>
      <w:tr w14:paraId="0BA1A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812" w:type="dxa"/>
            <w:noWrap w:val="0"/>
            <w:vAlign w:val="center"/>
          </w:tcPr>
          <w:p w14:paraId="69E94034">
            <w:pPr>
              <w:keepNext w:val="0"/>
              <w:keepLines w:val="0"/>
              <w:pageBreakBefore w:val="0"/>
              <w:widowControl w:val="0"/>
              <w:numPr>
                <w:ilvl w:val="0"/>
                <w:numId w:val="0"/>
              </w:numPr>
              <w:suppressLineNumbers w:val="0"/>
              <w:kinsoku/>
              <w:wordWrap/>
              <w:overflowPunct/>
              <w:topLinePunct w:val="0"/>
              <w:autoSpaceDE/>
              <w:autoSpaceDN/>
              <w:bidi w:val="0"/>
              <w:adjustRightInd/>
              <w:snapToGrid/>
              <w:spacing w:line="440" w:lineRule="exact"/>
              <w:ind w:left="0" w:leftChars="0" w:firstLine="0" w:firstLineChars="0"/>
              <w:jc w:val="center"/>
              <w:textAlignment w:val="center"/>
              <w:rPr>
                <w:rFonts w:hint="default" w:ascii="Times New Roman" w:hAnsi="Times New Roman" w:eastAsia="仿宋_GB2312" w:cs="Times New Roman"/>
                <w:i w:val="0"/>
                <w:iCs w:val="0"/>
                <w:color w:val="auto"/>
                <w:kern w:val="0"/>
                <w:sz w:val="28"/>
                <w:szCs w:val="28"/>
                <w:highlight w:val="none"/>
                <w:u w:val="none"/>
                <w:lang w:val="en-US" w:eastAsia="zh-CN" w:bidi="ar"/>
              </w:rPr>
            </w:pPr>
            <w:r>
              <w:rPr>
                <w:rFonts w:hint="default" w:ascii="Times New Roman" w:hAnsi="Times New Roman" w:eastAsia="仿宋_GB2312" w:cs="Times New Roman"/>
                <w:i w:val="0"/>
                <w:iCs w:val="0"/>
                <w:color w:val="auto"/>
                <w:kern w:val="0"/>
                <w:sz w:val="28"/>
                <w:szCs w:val="28"/>
                <w:highlight w:val="none"/>
                <w:u w:val="none"/>
                <w:lang w:val="en-US" w:eastAsia="zh-CN" w:bidi="ar"/>
              </w:rPr>
              <w:t>20</w:t>
            </w:r>
          </w:p>
        </w:tc>
        <w:tc>
          <w:tcPr>
            <w:tcW w:w="1636" w:type="dxa"/>
            <w:vMerge w:val="continue"/>
            <w:noWrap w:val="0"/>
            <w:vAlign w:val="center"/>
          </w:tcPr>
          <w:p w14:paraId="34906679">
            <w:pPr>
              <w:keepNext w:val="0"/>
              <w:keepLines w:val="0"/>
              <w:pageBreakBefore w:val="0"/>
              <w:kinsoku/>
              <w:wordWrap/>
              <w:overflowPunct/>
              <w:topLinePunct w:val="0"/>
              <w:autoSpaceDE/>
              <w:autoSpaceDN/>
              <w:bidi w:val="0"/>
              <w:adjustRightInd/>
              <w:snapToGrid/>
              <w:spacing w:line="440" w:lineRule="exact"/>
              <w:jc w:val="center"/>
              <w:rPr>
                <w:rFonts w:hint="default" w:ascii="Times New Roman" w:hAnsi="Times New Roman" w:eastAsia="仿宋_GB2312" w:cs="Times New Roman"/>
                <w:color w:val="auto"/>
                <w:sz w:val="28"/>
                <w:szCs w:val="28"/>
                <w:highlight w:val="none"/>
              </w:rPr>
            </w:pPr>
          </w:p>
        </w:tc>
        <w:tc>
          <w:tcPr>
            <w:tcW w:w="6750" w:type="dxa"/>
            <w:noWrap w:val="0"/>
            <w:vAlign w:val="center"/>
          </w:tcPr>
          <w:p w14:paraId="0AD00ED1">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left="0" w:leftChars="0" w:right="0" w:rightChars="0"/>
              <w:jc w:val="both"/>
              <w:textAlignment w:val="auto"/>
              <w:rPr>
                <w:rFonts w:hint="default" w:ascii="Times New Roman" w:hAnsi="Times New Roman" w:eastAsia="仿宋_GB2312" w:cs="Times New Roman"/>
                <w:color w:val="auto"/>
                <w:kern w:val="0"/>
                <w:sz w:val="28"/>
                <w:szCs w:val="28"/>
                <w:highlight w:val="none"/>
                <w:lang w:val="en-US" w:eastAsia="zh-CN"/>
              </w:rPr>
            </w:pPr>
            <w:r>
              <w:rPr>
                <w:rFonts w:hint="default" w:ascii="Times New Roman" w:hAnsi="Times New Roman" w:eastAsia="仿宋_GB2312" w:cs="Times New Roman"/>
                <w:color w:val="auto"/>
                <w:kern w:val="0"/>
                <w:sz w:val="28"/>
                <w:szCs w:val="28"/>
                <w:highlight w:val="none"/>
                <w:lang w:val="en-US" w:eastAsia="zh-CN"/>
              </w:rPr>
              <w:t>人源类器官疾病模型的建立及其在</w:t>
            </w:r>
            <w:r>
              <w:rPr>
                <w:rFonts w:hint="default" w:ascii="Times New Roman" w:hAnsi="Times New Roman" w:eastAsia="仿宋_GB2312" w:cs="Times New Roman"/>
                <w:color w:val="auto"/>
                <w:kern w:val="0"/>
                <w:sz w:val="28"/>
                <w:szCs w:val="28"/>
                <w:highlight w:val="none"/>
                <w:lang w:val="en" w:eastAsia="zh-CN"/>
              </w:rPr>
              <w:t>中药筛选与评价</w:t>
            </w:r>
            <w:r>
              <w:rPr>
                <w:rFonts w:hint="default" w:ascii="Times New Roman" w:hAnsi="Times New Roman" w:eastAsia="仿宋_GB2312" w:cs="Times New Roman"/>
                <w:color w:val="auto"/>
                <w:kern w:val="0"/>
                <w:sz w:val="28"/>
                <w:szCs w:val="28"/>
                <w:highlight w:val="none"/>
                <w:lang w:val="en-US" w:eastAsia="zh-CN"/>
              </w:rPr>
              <w:t>方面的应用</w:t>
            </w:r>
          </w:p>
        </w:tc>
      </w:tr>
      <w:tr w14:paraId="6A5F4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812" w:type="dxa"/>
            <w:noWrap w:val="0"/>
            <w:vAlign w:val="center"/>
          </w:tcPr>
          <w:p w14:paraId="5CA69D21">
            <w:pPr>
              <w:keepNext w:val="0"/>
              <w:keepLines w:val="0"/>
              <w:pageBreakBefore w:val="0"/>
              <w:widowControl w:val="0"/>
              <w:numPr>
                <w:ilvl w:val="0"/>
                <w:numId w:val="0"/>
              </w:numPr>
              <w:suppressLineNumbers w:val="0"/>
              <w:kinsoku/>
              <w:wordWrap/>
              <w:overflowPunct/>
              <w:topLinePunct w:val="0"/>
              <w:autoSpaceDE/>
              <w:autoSpaceDN/>
              <w:bidi w:val="0"/>
              <w:adjustRightInd/>
              <w:snapToGrid/>
              <w:spacing w:line="440" w:lineRule="exact"/>
              <w:ind w:leftChars="0"/>
              <w:jc w:val="center"/>
              <w:textAlignment w:val="center"/>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color w:val="auto"/>
                <w:sz w:val="28"/>
                <w:szCs w:val="28"/>
                <w:highlight w:val="none"/>
                <w:lang w:val="en-US" w:eastAsia="zh-CN"/>
              </w:rPr>
              <w:t>21</w:t>
            </w:r>
          </w:p>
        </w:tc>
        <w:tc>
          <w:tcPr>
            <w:tcW w:w="1636" w:type="dxa"/>
            <w:vMerge w:val="restart"/>
            <w:noWrap w:val="0"/>
            <w:vAlign w:val="center"/>
          </w:tcPr>
          <w:p w14:paraId="2ECCD788">
            <w:pPr>
              <w:keepNext w:val="0"/>
              <w:keepLines w:val="0"/>
              <w:pageBreakBefore w:val="0"/>
              <w:kinsoku/>
              <w:wordWrap/>
              <w:overflowPunct/>
              <w:topLinePunct w:val="0"/>
              <w:autoSpaceDE/>
              <w:autoSpaceDN/>
              <w:bidi w:val="0"/>
              <w:adjustRightInd/>
              <w:snapToGrid/>
              <w:spacing w:line="44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卫生</w:t>
            </w:r>
          </w:p>
          <w:p w14:paraId="6C3FEE05">
            <w:pPr>
              <w:keepNext w:val="0"/>
              <w:keepLines w:val="0"/>
              <w:pageBreakBefore w:val="0"/>
              <w:kinsoku/>
              <w:wordWrap/>
              <w:overflowPunct/>
              <w:topLinePunct w:val="0"/>
              <w:autoSpaceDE/>
              <w:autoSpaceDN/>
              <w:bidi w:val="0"/>
              <w:adjustRightInd/>
              <w:snapToGrid/>
              <w:spacing w:line="44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健康</w:t>
            </w:r>
          </w:p>
        </w:tc>
        <w:tc>
          <w:tcPr>
            <w:tcW w:w="6750" w:type="dxa"/>
            <w:noWrap w:val="0"/>
            <w:vAlign w:val="center"/>
          </w:tcPr>
          <w:p w14:paraId="2C47048C">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left="0" w:leftChars="0" w:right="0" w:rightChars="0"/>
              <w:jc w:val="both"/>
              <w:textAlignment w:val="auto"/>
              <w:rPr>
                <w:rFonts w:hint="default" w:ascii="Times New Roman" w:hAnsi="Times New Roman" w:eastAsia="仿宋_GB2312" w:cs="Times New Roman"/>
                <w:color w:val="auto"/>
                <w:kern w:val="2"/>
                <w:sz w:val="28"/>
                <w:szCs w:val="28"/>
                <w:highlight w:val="none"/>
                <w:lang w:val="en-US" w:eastAsia="zh-CN" w:bidi="ar-SA"/>
              </w:rPr>
            </w:pPr>
            <w:r>
              <w:rPr>
                <w:rFonts w:hint="default" w:ascii="Times New Roman" w:hAnsi="Times New Roman" w:eastAsia="仿宋_GB2312" w:cs="Times New Roman"/>
                <w:color w:val="auto"/>
                <w:kern w:val="0"/>
                <w:sz w:val="28"/>
                <w:szCs w:val="28"/>
                <w:highlight w:val="none"/>
                <w:lang w:eastAsia="zh-CN"/>
              </w:rPr>
              <w:t>遗传性心血管疾病精准诊疗研究</w:t>
            </w:r>
          </w:p>
        </w:tc>
      </w:tr>
      <w:tr w14:paraId="522CE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812" w:type="dxa"/>
            <w:noWrap w:val="0"/>
            <w:vAlign w:val="center"/>
          </w:tcPr>
          <w:p w14:paraId="2E36C455">
            <w:pPr>
              <w:keepNext w:val="0"/>
              <w:keepLines w:val="0"/>
              <w:pageBreakBefore w:val="0"/>
              <w:widowControl w:val="0"/>
              <w:numPr>
                <w:ilvl w:val="0"/>
                <w:numId w:val="0"/>
              </w:numPr>
              <w:suppressLineNumbers w:val="0"/>
              <w:kinsoku/>
              <w:wordWrap/>
              <w:overflowPunct/>
              <w:topLinePunct w:val="0"/>
              <w:autoSpaceDE/>
              <w:autoSpaceDN/>
              <w:bidi w:val="0"/>
              <w:adjustRightInd/>
              <w:snapToGrid/>
              <w:spacing w:line="440" w:lineRule="exact"/>
              <w:ind w:leftChars="0"/>
              <w:jc w:val="center"/>
              <w:textAlignment w:val="center"/>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color w:val="auto"/>
                <w:sz w:val="28"/>
                <w:szCs w:val="28"/>
                <w:highlight w:val="none"/>
                <w:lang w:val="en-US" w:eastAsia="zh-CN"/>
              </w:rPr>
              <w:t>22</w:t>
            </w:r>
          </w:p>
        </w:tc>
        <w:tc>
          <w:tcPr>
            <w:tcW w:w="1636" w:type="dxa"/>
            <w:vMerge w:val="continue"/>
            <w:noWrap w:val="0"/>
            <w:vAlign w:val="center"/>
          </w:tcPr>
          <w:p w14:paraId="779FDB9A">
            <w:pPr>
              <w:keepNext w:val="0"/>
              <w:keepLines w:val="0"/>
              <w:pageBreakBefore w:val="0"/>
              <w:kinsoku/>
              <w:wordWrap/>
              <w:overflowPunct/>
              <w:topLinePunct w:val="0"/>
              <w:autoSpaceDE/>
              <w:autoSpaceDN/>
              <w:bidi w:val="0"/>
              <w:adjustRightInd/>
              <w:snapToGrid/>
              <w:spacing w:line="440" w:lineRule="exact"/>
              <w:jc w:val="center"/>
              <w:rPr>
                <w:rFonts w:hint="default" w:ascii="Times New Roman" w:hAnsi="Times New Roman" w:eastAsia="仿宋_GB2312" w:cs="Times New Roman"/>
                <w:color w:val="auto"/>
                <w:sz w:val="28"/>
                <w:szCs w:val="28"/>
                <w:highlight w:val="none"/>
              </w:rPr>
            </w:pPr>
          </w:p>
        </w:tc>
        <w:tc>
          <w:tcPr>
            <w:tcW w:w="6750" w:type="dxa"/>
            <w:noWrap w:val="0"/>
            <w:vAlign w:val="center"/>
          </w:tcPr>
          <w:p w14:paraId="406930AE">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left="0" w:leftChars="0" w:right="0" w:rightChars="0"/>
              <w:jc w:val="both"/>
              <w:textAlignment w:val="auto"/>
              <w:rPr>
                <w:rFonts w:hint="default" w:ascii="Times New Roman" w:hAnsi="Times New Roman" w:eastAsia="仿宋_GB2312" w:cs="Times New Roman"/>
                <w:color w:val="auto"/>
                <w:kern w:val="2"/>
                <w:sz w:val="28"/>
                <w:szCs w:val="28"/>
                <w:highlight w:val="none"/>
                <w:lang w:val="en-US" w:eastAsia="zh-CN" w:bidi="ar-SA"/>
              </w:rPr>
            </w:pPr>
            <w:r>
              <w:rPr>
                <w:rFonts w:hint="default" w:ascii="Times New Roman" w:hAnsi="Times New Roman" w:eastAsia="仿宋_GB2312" w:cs="Times New Roman"/>
                <w:color w:val="auto"/>
                <w:kern w:val="0"/>
                <w:sz w:val="28"/>
                <w:szCs w:val="28"/>
                <w:highlight w:val="none"/>
              </w:rPr>
              <w:t>靶向CD7 CAR-T细胞治疗血液系统肿瘤关键技术研究</w:t>
            </w:r>
          </w:p>
        </w:tc>
      </w:tr>
      <w:tr w14:paraId="74E3E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812" w:type="dxa"/>
            <w:noWrap w:val="0"/>
            <w:vAlign w:val="center"/>
          </w:tcPr>
          <w:p w14:paraId="25EBC2E7">
            <w:pPr>
              <w:keepNext w:val="0"/>
              <w:keepLines w:val="0"/>
              <w:pageBreakBefore w:val="0"/>
              <w:widowControl w:val="0"/>
              <w:numPr>
                <w:ilvl w:val="0"/>
                <w:numId w:val="0"/>
              </w:numPr>
              <w:suppressLineNumbers w:val="0"/>
              <w:kinsoku/>
              <w:wordWrap/>
              <w:overflowPunct/>
              <w:topLinePunct w:val="0"/>
              <w:autoSpaceDE/>
              <w:autoSpaceDN/>
              <w:bidi w:val="0"/>
              <w:adjustRightInd/>
              <w:snapToGrid/>
              <w:spacing w:line="440" w:lineRule="exact"/>
              <w:ind w:leftChars="0"/>
              <w:jc w:val="center"/>
              <w:textAlignment w:val="center"/>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color w:val="auto"/>
                <w:sz w:val="28"/>
                <w:szCs w:val="28"/>
                <w:highlight w:val="none"/>
                <w:lang w:val="en-US" w:eastAsia="zh-CN"/>
              </w:rPr>
              <w:t>23</w:t>
            </w:r>
          </w:p>
        </w:tc>
        <w:tc>
          <w:tcPr>
            <w:tcW w:w="1636" w:type="dxa"/>
            <w:vMerge w:val="continue"/>
            <w:noWrap w:val="0"/>
            <w:vAlign w:val="center"/>
          </w:tcPr>
          <w:p w14:paraId="6A6E431F">
            <w:pPr>
              <w:keepNext w:val="0"/>
              <w:keepLines w:val="0"/>
              <w:pageBreakBefore w:val="0"/>
              <w:kinsoku/>
              <w:wordWrap/>
              <w:overflowPunct/>
              <w:topLinePunct w:val="0"/>
              <w:autoSpaceDE/>
              <w:autoSpaceDN/>
              <w:bidi w:val="0"/>
              <w:adjustRightInd/>
              <w:snapToGrid/>
              <w:spacing w:line="440" w:lineRule="exact"/>
              <w:jc w:val="center"/>
              <w:rPr>
                <w:rFonts w:hint="default" w:ascii="Times New Roman" w:hAnsi="Times New Roman" w:eastAsia="仿宋_GB2312" w:cs="Times New Roman"/>
                <w:color w:val="auto"/>
                <w:sz w:val="28"/>
                <w:szCs w:val="28"/>
                <w:highlight w:val="none"/>
              </w:rPr>
            </w:pPr>
          </w:p>
        </w:tc>
        <w:tc>
          <w:tcPr>
            <w:tcW w:w="6750" w:type="dxa"/>
            <w:noWrap w:val="0"/>
            <w:vAlign w:val="center"/>
          </w:tcPr>
          <w:p w14:paraId="16ECD5E9">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left="0" w:leftChars="0" w:right="0" w:rightChars="0"/>
              <w:jc w:val="both"/>
              <w:textAlignment w:val="auto"/>
              <w:rPr>
                <w:rFonts w:hint="default" w:ascii="Times New Roman" w:hAnsi="Times New Roman" w:eastAsia="仿宋_GB2312" w:cs="Times New Roman"/>
                <w:color w:val="auto"/>
                <w:kern w:val="2"/>
                <w:sz w:val="28"/>
                <w:szCs w:val="28"/>
                <w:highlight w:val="none"/>
                <w:lang w:val="en-US" w:eastAsia="zh-CN" w:bidi="ar-SA"/>
              </w:rPr>
            </w:pPr>
            <w:r>
              <w:rPr>
                <w:rFonts w:hint="default" w:ascii="Times New Roman" w:hAnsi="Times New Roman" w:eastAsia="仿宋_GB2312" w:cs="Times New Roman"/>
                <w:color w:val="auto"/>
                <w:kern w:val="0"/>
                <w:sz w:val="28"/>
                <w:szCs w:val="28"/>
                <w:highlight w:val="none"/>
                <w:lang w:val="en-US" w:eastAsia="zh-CN"/>
              </w:rPr>
              <w:t>灸法干预偏颇体质相关超重/肥胖个体化诊疗研究</w:t>
            </w:r>
          </w:p>
        </w:tc>
      </w:tr>
      <w:tr w14:paraId="01B96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812" w:type="dxa"/>
            <w:noWrap w:val="0"/>
            <w:vAlign w:val="center"/>
          </w:tcPr>
          <w:p w14:paraId="3A8456C2">
            <w:pPr>
              <w:keepNext w:val="0"/>
              <w:keepLines w:val="0"/>
              <w:pageBreakBefore w:val="0"/>
              <w:widowControl w:val="0"/>
              <w:numPr>
                <w:ilvl w:val="0"/>
                <w:numId w:val="0"/>
              </w:numPr>
              <w:suppressLineNumbers w:val="0"/>
              <w:kinsoku/>
              <w:wordWrap/>
              <w:overflowPunct/>
              <w:topLinePunct w:val="0"/>
              <w:autoSpaceDE/>
              <w:autoSpaceDN/>
              <w:bidi w:val="0"/>
              <w:adjustRightInd/>
              <w:snapToGrid/>
              <w:spacing w:line="440" w:lineRule="exact"/>
              <w:ind w:leftChars="0"/>
              <w:jc w:val="center"/>
              <w:textAlignment w:val="center"/>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color w:val="auto"/>
                <w:sz w:val="28"/>
                <w:szCs w:val="28"/>
                <w:highlight w:val="none"/>
                <w:lang w:val="en-US" w:eastAsia="zh-CN"/>
              </w:rPr>
              <w:t>24</w:t>
            </w:r>
          </w:p>
        </w:tc>
        <w:tc>
          <w:tcPr>
            <w:tcW w:w="1636" w:type="dxa"/>
            <w:vMerge w:val="continue"/>
            <w:noWrap w:val="0"/>
            <w:vAlign w:val="center"/>
          </w:tcPr>
          <w:p w14:paraId="4FAB6FC7">
            <w:pPr>
              <w:keepNext w:val="0"/>
              <w:keepLines w:val="0"/>
              <w:pageBreakBefore w:val="0"/>
              <w:kinsoku/>
              <w:wordWrap/>
              <w:overflowPunct/>
              <w:topLinePunct w:val="0"/>
              <w:autoSpaceDE/>
              <w:autoSpaceDN/>
              <w:bidi w:val="0"/>
              <w:adjustRightInd/>
              <w:snapToGrid/>
              <w:spacing w:line="440" w:lineRule="exact"/>
              <w:jc w:val="center"/>
              <w:rPr>
                <w:rFonts w:hint="default" w:ascii="Times New Roman" w:hAnsi="Times New Roman" w:eastAsia="仿宋_GB2312" w:cs="Times New Roman"/>
                <w:color w:val="auto"/>
                <w:sz w:val="28"/>
                <w:szCs w:val="28"/>
                <w:highlight w:val="none"/>
              </w:rPr>
            </w:pPr>
          </w:p>
        </w:tc>
        <w:tc>
          <w:tcPr>
            <w:tcW w:w="6750" w:type="dxa"/>
            <w:noWrap w:val="0"/>
            <w:vAlign w:val="center"/>
          </w:tcPr>
          <w:p w14:paraId="4EDF3CE7">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left="0" w:leftChars="0" w:right="0" w:rightChars="0"/>
              <w:jc w:val="both"/>
              <w:textAlignment w:val="auto"/>
              <w:rPr>
                <w:rFonts w:hint="default" w:ascii="Times New Roman" w:hAnsi="Times New Roman" w:eastAsia="仿宋_GB2312" w:cs="Times New Roman"/>
                <w:color w:val="auto"/>
                <w:kern w:val="2"/>
                <w:sz w:val="28"/>
                <w:szCs w:val="28"/>
                <w:highlight w:val="none"/>
                <w:lang w:val="en-US" w:eastAsia="zh-CN" w:bidi="ar-SA"/>
              </w:rPr>
            </w:pPr>
            <w:r>
              <w:rPr>
                <w:rFonts w:hint="default" w:ascii="Times New Roman" w:hAnsi="Times New Roman" w:eastAsia="仿宋_GB2312" w:cs="Times New Roman"/>
                <w:color w:val="auto"/>
                <w:kern w:val="0"/>
                <w:sz w:val="28"/>
                <w:szCs w:val="28"/>
                <w:highlight w:val="none"/>
              </w:rPr>
              <w:t>粪菌移植联合</w:t>
            </w:r>
            <w:r>
              <w:rPr>
                <w:rFonts w:hint="default" w:ascii="Times New Roman" w:hAnsi="Times New Roman" w:eastAsia="仿宋_GB2312" w:cs="Times New Roman"/>
                <w:color w:val="auto"/>
                <w:kern w:val="0"/>
                <w:sz w:val="28"/>
                <w:szCs w:val="28"/>
                <w:highlight w:val="none"/>
                <w:lang w:val="en-US" w:eastAsia="zh-CN"/>
              </w:rPr>
              <w:t>疗法</w:t>
            </w:r>
            <w:r>
              <w:rPr>
                <w:rFonts w:hint="default" w:ascii="Times New Roman" w:hAnsi="Times New Roman" w:eastAsia="仿宋_GB2312" w:cs="Times New Roman"/>
                <w:color w:val="auto"/>
                <w:kern w:val="0"/>
                <w:sz w:val="28"/>
                <w:szCs w:val="28"/>
                <w:highlight w:val="none"/>
              </w:rPr>
              <w:t>治疗晚期结直肠癌的临床研究</w:t>
            </w:r>
          </w:p>
        </w:tc>
      </w:tr>
      <w:tr w14:paraId="2816E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812" w:type="dxa"/>
            <w:noWrap w:val="0"/>
            <w:vAlign w:val="center"/>
          </w:tcPr>
          <w:p w14:paraId="16021646">
            <w:pPr>
              <w:keepNext w:val="0"/>
              <w:keepLines w:val="0"/>
              <w:pageBreakBefore w:val="0"/>
              <w:widowControl w:val="0"/>
              <w:numPr>
                <w:ilvl w:val="0"/>
                <w:numId w:val="0"/>
              </w:numPr>
              <w:suppressLineNumbers w:val="0"/>
              <w:kinsoku/>
              <w:wordWrap/>
              <w:overflowPunct/>
              <w:topLinePunct w:val="0"/>
              <w:autoSpaceDE/>
              <w:autoSpaceDN/>
              <w:bidi w:val="0"/>
              <w:adjustRightInd/>
              <w:snapToGrid/>
              <w:spacing w:line="440" w:lineRule="exact"/>
              <w:ind w:leftChars="0"/>
              <w:jc w:val="center"/>
              <w:textAlignment w:val="center"/>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color w:val="auto"/>
                <w:sz w:val="28"/>
                <w:szCs w:val="28"/>
                <w:highlight w:val="none"/>
                <w:lang w:val="en-US" w:eastAsia="zh-CN"/>
              </w:rPr>
              <w:t>25</w:t>
            </w:r>
          </w:p>
        </w:tc>
        <w:tc>
          <w:tcPr>
            <w:tcW w:w="1636" w:type="dxa"/>
            <w:vMerge w:val="continue"/>
            <w:noWrap w:val="0"/>
            <w:vAlign w:val="center"/>
          </w:tcPr>
          <w:p w14:paraId="50610C45">
            <w:pPr>
              <w:keepNext w:val="0"/>
              <w:keepLines w:val="0"/>
              <w:pageBreakBefore w:val="0"/>
              <w:kinsoku/>
              <w:wordWrap/>
              <w:overflowPunct/>
              <w:topLinePunct w:val="0"/>
              <w:autoSpaceDE/>
              <w:autoSpaceDN/>
              <w:bidi w:val="0"/>
              <w:adjustRightInd/>
              <w:snapToGrid/>
              <w:spacing w:line="440" w:lineRule="exact"/>
              <w:jc w:val="center"/>
              <w:rPr>
                <w:rFonts w:hint="default" w:ascii="Times New Roman" w:hAnsi="Times New Roman" w:eastAsia="仿宋_GB2312" w:cs="Times New Roman"/>
                <w:color w:val="auto"/>
                <w:sz w:val="28"/>
                <w:szCs w:val="28"/>
                <w:highlight w:val="none"/>
              </w:rPr>
            </w:pPr>
          </w:p>
        </w:tc>
        <w:tc>
          <w:tcPr>
            <w:tcW w:w="6750" w:type="dxa"/>
            <w:noWrap w:val="0"/>
            <w:vAlign w:val="center"/>
          </w:tcPr>
          <w:p w14:paraId="7AB7D242">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left="0" w:leftChars="0" w:right="0" w:rightChars="0"/>
              <w:jc w:val="both"/>
              <w:textAlignment w:val="auto"/>
              <w:rPr>
                <w:rFonts w:hint="default" w:ascii="Times New Roman" w:hAnsi="Times New Roman" w:eastAsia="仿宋_GB2312" w:cs="Times New Roman"/>
                <w:color w:val="auto"/>
                <w:kern w:val="2"/>
                <w:sz w:val="28"/>
                <w:szCs w:val="28"/>
                <w:highlight w:val="none"/>
                <w:lang w:val="en-US" w:eastAsia="zh-CN" w:bidi="ar-SA"/>
              </w:rPr>
            </w:pPr>
            <w:r>
              <w:rPr>
                <w:rFonts w:hint="default" w:ascii="Times New Roman" w:hAnsi="Times New Roman" w:eastAsia="仿宋_GB2312" w:cs="Times New Roman"/>
                <w:color w:val="auto"/>
                <w:kern w:val="0"/>
                <w:sz w:val="28"/>
                <w:szCs w:val="28"/>
                <w:highlight w:val="none"/>
              </w:rPr>
              <w:t>重症肺炎精准诊疗关键技术研发与转化应用</w:t>
            </w:r>
          </w:p>
        </w:tc>
      </w:tr>
      <w:tr w14:paraId="4EAAC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812" w:type="dxa"/>
            <w:noWrap w:val="0"/>
            <w:vAlign w:val="center"/>
          </w:tcPr>
          <w:p w14:paraId="78FEFB66">
            <w:pPr>
              <w:keepNext w:val="0"/>
              <w:keepLines w:val="0"/>
              <w:pageBreakBefore w:val="0"/>
              <w:widowControl w:val="0"/>
              <w:numPr>
                <w:ilvl w:val="0"/>
                <w:numId w:val="0"/>
              </w:numPr>
              <w:suppressLineNumbers w:val="0"/>
              <w:kinsoku/>
              <w:wordWrap/>
              <w:overflowPunct/>
              <w:topLinePunct w:val="0"/>
              <w:autoSpaceDE/>
              <w:autoSpaceDN/>
              <w:bidi w:val="0"/>
              <w:adjustRightInd/>
              <w:snapToGrid/>
              <w:spacing w:line="440" w:lineRule="exact"/>
              <w:ind w:leftChars="0"/>
              <w:jc w:val="center"/>
              <w:textAlignment w:val="center"/>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color w:val="auto"/>
                <w:sz w:val="28"/>
                <w:szCs w:val="28"/>
                <w:highlight w:val="none"/>
                <w:lang w:val="en-US" w:eastAsia="zh-CN"/>
              </w:rPr>
              <w:t>26</w:t>
            </w:r>
          </w:p>
        </w:tc>
        <w:tc>
          <w:tcPr>
            <w:tcW w:w="1636" w:type="dxa"/>
            <w:vMerge w:val="continue"/>
            <w:noWrap w:val="0"/>
            <w:vAlign w:val="center"/>
          </w:tcPr>
          <w:p w14:paraId="4A0A5BC5">
            <w:pPr>
              <w:keepNext w:val="0"/>
              <w:keepLines w:val="0"/>
              <w:pageBreakBefore w:val="0"/>
              <w:kinsoku/>
              <w:wordWrap/>
              <w:overflowPunct/>
              <w:topLinePunct w:val="0"/>
              <w:autoSpaceDE/>
              <w:autoSpaceDN/>
              <w:bidi w:val="0"/>
              <w:adjustRightInd/>
              <w:snapToGrid/>
              <w:spacing w:line="440" w:lineRule="exact"/>
              <w:jc w:val="center"/>
              <w:rPr>
                <w:rFonts w:hint="default" w:ascii="Times New Roman" w:hAnsi="Times New Roman" w:eastAsia="仿宋_GB2312" w:cs="Times New Roman"/>
                <w:color w:val="auto"/>
                <w:sz w:val="28"/>
                <w:szCs w:val="28"/>
                <w:highlight w:val="none"/>
              </w:rPr>
            </w:pPr>
          </w:p>
        </w:tc>
        <w:tc>
          <w:tcPr>
            <w:tcW w:w="6750" w:type="dxa"/>
            <w:noWrap w:val="0"/>
            <w:vAlign w:val="center"/>
          </w:tcPr>
          <w:p w14:paraId="2031D77C">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left="0" w:leftChars="0" w:right="0" w:rightChars="0"/>
              <w:jc w:val="both"/>
              <w:textAlignment w:val="auto"/>
              <w:rPr>
                <w:rFonts w:hint="default" w:ascii="Times New Roman" w:hAnsi="Times New Roman" w:eastAsia="仿宋_GB2312" w:cs="Times New Roman"/>
                <w:color w:val="auto"/>
                <w:kern w:val="2"/>
                <w:sz w:val="28"/>
                <w:szCs w:val="28"/>
                <w:highlight w:val="none"/>
                <w:lang w:val="en-US" w:eastAsia="zh-CN" w:bidi="ar-SA"/>
              </w:rPr>
            </w:pPr>
            <w:r>
              <w:rPr>
                <w:rFonts w:hint="default" w:ascii="Times New Roman" w:hAnsi="Times New Roman" w:eastAsia="仿宋_GB2312" w:cs="Times New Roman"/>
                <w:color w:val="auto"/>
                <w:kern w:val="0"/>
                <w:sz w:val="28"/>
                <w:szCs w:val="28"/>
                <w:highlight w:val="none"/>
              </w:rPr>
              <w:t>基于人工智能的</w:t>
            </w:r>
            <w:r>
              <w:rPr>
                <w:rFonts w:hint="default" w:ascii="Times New Roman" w:hAnsi="Times New Roman" w:eastAsia="仿宋_GB2312" w:cs="Times New Roman"/>
                <w:color w:val="auto"/>
                <w:kern w:val="0"/>
                <w:sz w:val="28"/>
                <w:szCs w:val="28"/>
                <w:highlight w:val="none"/>
                <w:lang w:val="en-US" w:eastAsia="zh-CN"/>
              </w:rPr>
              <w:t>神经</w:t>
            </w:r>
            <w:r>
              <w:rPr>
                <w:rFonts w:hint="default" w:ascii="Times New Roman" w:hAnsi="Times New Roman" w:eastAsia="仿宋_GB2312" w:cs="Times New Roman"/>
                <w:color w:val="auto"/>
                <w:kern w:val="0"/>
                <w:sz w:val="28"/>
                <w:szCs w:val="28"/>
                <w:highlight w:val="none"/>
              </w:rPr>
              <w:t>外科微创手术关键技术研发与应用</w:t>
            </w:r>
          </w:p>
        </w:tc>
      </w:tr>
      <w:tr w14:paraId="67084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812" w:type="dxa"/>
            <w:noWrap w:val="0"/>
            <w:vAlign w:val="center"/>
          </w:tcPr>
          <w:p w14:paraId="4B49CAA5">
            <w:pPr>
              <w:keepNext w:val="0"/>
              <w:keepLines w:val="0"/>
              <w:pageBreakBefore w:val="0"/>
              <w:widowControl w:val="0"/>
              <w:numPr>
                <w:ilvl w:val="0"/>
                <w:numId w:val="0"/>
              </w:numPr>
              <w:suppressLineNumbers w:val="0"/>
              <w:kinsoku/>
              <w:wordWrap/>
              <w:overflowPunct/>
              <w:topLinePunct w:val="0"/>
              <w:autoSpaceDE/>
              <w:autoSpaceDN/>
              <w:bidi w:val="0"/>
              <w:adjustRightInd/>
              <w:snapToGrid/>
              <w:spacing w:line="440" w:lineRule="exact"/>
              <w:ind w:leftChars="0"/>
              <w:jc w:val="center"/>
              <w:textAlignment w:val="center"/>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color w:val="auto"/>
                <w:sz w:val="28"/>
                <w:szCs w:val="28"/>
                <w:highlight w:val="none"/>
                <w:lang w:val="en-US" w:eastAsia="zh-CN"/>
              </w:rPr>
              <w:t>27</w:t>
            </w:r>
          </w:p>
        </w:tc>
        <w:tc>
          <w:tcPr>
            <w:tcW w:w="1636" w:type="dxa"/>
            <w:vMerge w:val="continue"/>
            <w:noWrap w:val="0"/>
            <w:vAlign w:val="center"/>
          </w:tcPr>
          <w:p w14:paraId="5E754CA8">
            <w:pPr>
              <w:keepNext w:val="0"/>
              <w:keepLines w:val="0"/>
              <w:pageBreakBefore w:val="0"/>
              <w:kinsoku/>
              <w:wordWrap/>
              <w:overflowPunct/>
              <w:topLinePunct w:val="0"/>
              <w:autoSpaceDE/>
              <w:autoSpaceDN/>
              <w:bidi w:val="0"/>
              <w:adjustRightInd/>
              <w:snapToGrid/>
              <w:spacing w:line="440" w:lineRule="exact"/>
              <w:jc w:val="center"/>
              <w:rPr>
                <w:rFonts w:hint="default" w:ascii="Times New Roman" w:hAnsi="Times New Roman" w:eastAsia="仿宋_GB2312" w:cs="Times New Roman"/>
                <w:color w:val="auto"/>
                <w:sz w:val="28"/>
                <w:szCs w:val="28"/>
                <w:highlight w:val="none"/>
              </w:rPr>
            </w:pPr>
          </w:p>
        </w:tc>
        <w:tc>
          <w:tcPr>
            <w:tcW w:w="6750" w:type="dxa"/>
            <w:noWrap w:val="0"/>
            <w:vAlign w:val="center"/>
          </w:tcPr>
          <w:p w14:paraId="3A8D61F8">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left="0" w:leftChars="0" w:right="0" w:rightChars="0"/>
              <w:jc w:val="both"/>
              <w:textAlignment w:val="auto"/>
              <w:rPr>
                <w:rFonts w:hint="default" w:ascii="Times New Roman" w:hAnsi="Times New Roman" w:eastAsia="仿宋_GB2312" w:cs="Times New Roman"/>
                <w:color w:val="auto"/>
                <w:kern w:val="2"/>
                <w:sz w:val="28"/>
                <w:szCs w:val="28"/>
                <w:highlight w:val="none"/>
                <w:lang w:val="en-US" w:eastAsia="zh-CN" w:bidi="ar-SA"/>
              </w:rPr>
            </w:pPr>
            <w:r>
              <w:rPr>
                <w:rFonts w:hint="default" w:ascii="Times New Roman" w:hAnsi="Times New Roman" w:eastAsia="仿宋_GB2312" w:cs="Times New Roman"/>
                <w:color w:val="auto"/>
                <w:kern w:val="0"/>
                <w:sz w:val="28"/>
                <w:szCs w:val="28"/>
                <w:highlight w:val="none"/>
                <w:lang w:val="en-US" w:eastAsia="zh-CN"/>
              </w:rPr>
              <w:t>针灸防治阿尔兹海默病（AD）共病的关键技术体系构建及临床应用</w:t>
            </w:r>
          </w:p>
        </w:tc>
      </w:tr>
      <w:tr w14:paraId="660A7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2" w:type="dxa"/>
            <w:noWrap w:val="0"/>
            <w:vAlign w:val="center"/>
          </w:tcPr>
          <w:p w14:paraId="22EB0A06">
            <w:pPr>
              <w:keepNext w:val="0"/>
              <w:keepLines w:val="0"/>
              <w:pageBreakBefore w:val="0"/>
              <w:widowControl w:val="0"/>
              <w:numPr>
                <w:ilvl w:val="0"/>
                <w:numId w:val="0"/>
              </w:numPr>
              <w:suppressLineNumbers w:val="0"/>
              <w:kinsoku/>
              <w:wordWrap/>
              <w:overflowPunct/>
              <w:topLinePunct w:val="0"/>
              <w:autoSpaceDE/>
              <w:autoSpaceDN/>
              <w:bidi w:val="0"/>
              <w:adjustRightInd/>
              <w:snapToGrid/>
              <w:spacing w:line="440" w:lineRule="exact"/>
              <w:ind w:leftChars="0"/>
              <w:jc w:val="center"/>
              <w:textAlignment w:val="center"/>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color w:val="auto"/>
                <w:sz w:val="28"/>
                <w:szCs w:val="28"/>
                <w:highlight w:val="none"/>
                <w:lang w:val="en-US" w:eastAsia="zh-CN"/>
              </w:rPr>
              <w:t>28</w:t>
            </w:r>
          </w:p>
        </w:tc>
        <w:tc>
          <w:tcPr>
            <w:tcW w:w="1636" w:type="dxa"/>
            <w:vMerge w:val="continue"/>
            <w:noWrap w:val="0"/>
            <w:vAlign w:val="center"/>
          </w:tcPr>
          <w:p w14:paraId="3EB2C8A0">
            <w:pPr>
              <w:keepNext w:val="0"/>
              <w:keepLines w:val="0"/>
              <w:pageBreakBefore w:val="0"/>
              <w:kinsoku/>
              <w:wordWrap/>
              <w:overflowPunct/>
              <w:topLinePunct w:val="0"/>
              <w:autoSpaceDE/>
              <w:autoSpaceDN/>
              <w:bidi w:val="0"/>
              <w:adjustRightInd/>
              <w:snapToGrid/>
              <w:spacing w:line="440" w:lineRule="exact"/>
              <w:jc w:val="center"/>
              <w:rPr>
                <w:rFonts w:hint="default" w:ascii="Times New Roman" w:hAnsi="Times New Roman" w:eastAsia="仿宋_GB2312" w:cs="Times New Roman"/>
                <w:color w:val="auto"/>
                <w:sz w:val="28"/>
                <w:szCs w:val="28"/>
                <w:highlight w:val="none"/>
              </w:rPr>
            </w:pPr>
          </w:p>
        </w:tc>
        <w:tc>
          <w:tcPr>
            <w:tcW w:w="6750" w:type="dxa"/>
            <w:noWrap w:val="0"/>
            <w:vAlign w:val="center"/>
          </w:tcPr>
          <w:p w14:paraId="60CDB482">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left="0" w:leftChars="0" w:right="0" w:rightChars="0"/>
              <w:jc w:val="both"/>
              <w:textAlignment w:val="auto"/>
              <w:rPr>
                <w:rFonts w:hint="default" w:ascii="Times New Roman" w:hAnsi="Times New Roman" w:eastAsia="仿宋_GB2312" w:cs="Times New Roman"/>
                <w:color w:val="auto"/>
                <w:kern w:val="2"/>
                <w:sz w:val="28"/>
                <w:szCs w:val="28"/>
                <w:highlight w:val="none"/>
                <w:lang w:val="en-US" w:eastAsia="zh-CN" w:bidi="ar-SA"/>
              </w:rPr>
            </w:pPr>
            <w:r>
              <w:rPr>
                <w:rFonts w:hint="default" w:ascii="Times New Roman" w:hAnsi="Times New Roman" w:eastAsia="仿宋_GB2312" w:cs="Times New Roman"/>
                <w:color w:val="auto"/>
                <w:kern w:val="0"/>
                <w:sz w:val="28"/>
                <w:szCs w:val="28"/>
                <w:highlight w:val="none"/>
                <w:lang w:val="en-US" w:eastAsia="zh-CN"/>
              </w:rPr>
              <w:t>江西省名老中医经验智慧诊疗辅助系统研发与应用</w:t>
            </w:r>
          </w:p>
        </w:tc>
      </w:tr>
      <w:tr w14:paraId="79B4D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2" w:type="dxa"/>
            <w:noWrap w:val="0"/>
            <w:vAlign w:val="center"/>
          </w:tcPr>
          <w:p w14:paraId="31B79C35">
            <w:pPr>
              <w:keepNext w:val="0"/>
              <w:keepLines w:val="0"/>
              <w:pageBreakBefore w:val="0"/>
              <w:widowControl w:val="0"/>
              <w:numPr>
                <w:ilvl w:val="0"/>
                <w:numId w:val="0"/>
              </w:numPr>
              <w:suppressLineNumbers w:val="0"/>
              <w:kinsoku/>
              <w:wordWrap/>
              <w:overflowPunct/>
              <w:topLinePunct w:val="0"/>
              <w:autoSpaceDE/>
              <w:autoSpaceDN/>
              <w:bidi w:val="0"/>
              <w:adjustRightInd/>
              <w:snapToGrid/>
              <w:spacing w:line="440" w:lineRule="exact"/>
              <w:ind w:leftChars="0"/>
              <w:jc w:val="center"/>
              <w:textAlignment w:val="center"/>
              <w:rPr>
                <w:rFonts w:hint="default" w:ascii="Times New Roman" w:hAnsi="Times New Roman" w:eastAsia="仿宋_GB2312" w:cs="Times New Roman"/>
                <w:i w:val="0"/>
                <w:iCs w:val="0"/>
                <w:color w:val="auto"/>
                <w:kern w:val="0"/>
                <w:sz w:val="28"/>
                <w:szCs w:val="28"/>
                <w:highlight w:val="none"/>
                <w:u w:val="none"/>
                <w:lang w:val="en-US" w:eastAsia="zh-CN" w:bidi="ar"/>
              </w:rPr>
            </w:pPr>
            <w:r>
              <w:rPr>
                <w:rFonts w:hint="default" w:ascii="Times New Roman" w:hAnsi="Times New Roman" w:eastAsia="仿宋_GB2312" w:cs="Times New Roman"/>
                <w:i w:val="0"/>
                <w:iCs w:val="0"/>
                <w:color w:val="auto"/>
                <w:kern w:val="0"/>
                <w:sz w:val="28"/>
                <w:szCs w:val="28"/>
                <w:highlight w:val="none"/>
                <w:u w:val="none"/>
                <w:lang w:val="en-US" w:eastAsia="zh-CN" w:bidi="ar"/>
              </w:rPr>
              <w:t>29</w:t>
            </w:r>
          </w:p>
        </w:tc>
        <w:tc>
          <w:tcPr>
            <w:tcW w:w="1636" w:type="dxa"/>
            <w:vMerge w:val="continue"/>
            <w:noWrap w:val="0"/>
            <w:vAlign w:val="center"/>
          </w:tcPr>
          <w:p w14:paraId="4FB6292F">
            <w:pPr>
              <w:keepNext w:val="0"/>
              <w:keepLines w:val="0"/>
              <w:pageBreakBefore w:val="0"/>
              <w:kinsoku/>
              <w:wordWrap/>
              <w:overflowPunct/>
              <w:topLinePunct w:val="0"/>
              <w:autoSpaceDE/>
              <w:autoSpaceDN/>
              <w:bidi w:val="0"/>
              <w:adjustRightInd/>
              <w:snapToGrid/>
              <w:spacing w:line="440" w:lineRule="exact"/>
              <w:jc w:val="center"/>
              <w:rPr>
                <w:rFonts w:hint="default" w:ascii="Times New Roman" w:hAnsi="Times New Roman" w:eastAsia="仿宋_GB2312" w:cs="Times New Roman"/>
                <w:color w:val="auto"/>
                <w:sz w:val="28"/>
                <w:szCs w:val="28"/>
                <w:highlight w:val="none"/>
              </w:rPr>
            </w:pPr>
          </w:p>
        </w:tc>
        <w:tc>
          <w:tcPr>
            <w:tcW w:w="6750" w:type="dxa"/>
            <w:noWrap w:val="0"/>
            <w:vAlign w:val="center"/>
          </w:tcPr>
          <w:p w14:paraId="1FFF6B27">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left="0" w:leftChars="0" w:right="0" w:rightChars="0"/>
              <w:jc w:val="both"/>
              <w:textAlignment w:val="auto"/>
              <w:rPr>
                <w:rFonts w:hint="default" w:ascii="Times New Roman" w:hAnsi="Times New Roman" w:eastAsia="仿宋_GB2312" w:cs="Times New Roman"/>
                <w:color w:val="auto"/>
                <w:kern w:val="2"/>
                <w:sz w:val="28"/>
                <w:szCs w:val="28"/>
                <w:highlight w:val="none"/>
                <w:lang w:val="en-US" w:eastAsia="zh-CN" w:bidi="ar-SA"/>
              </w:rPr>
            </w:pPr>
            <w:r>
              <w:rPr>
                <w:rFonts w:hint="default" w:ascii="Times New Roman" w:hAnsi="Times New Roman" w:eastAsia="仿宋_GB2312" w:cs="Times New Roman"/>
                <w:color w:val="auto"/>
                <w:spacing w:val="-6"/>
                <w:kern w:val="0"/>
                <w:sz w:val="28"/>
                <w:szCs w:val="28"/>
                <w:highlight w:val="none"/>
              </w:rPr>
              <w:t>可视化针刀治疗颈椎病的临床疗效评价和关键机制研究</w:t>
            </w:r>
          </w:p>
        </w:tc>
      </w:tr>
      <w:tr w14:paraId="631D0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2" w:type="dxa"/>
            <w:noWrap w:val="0"/>
            <w:vAlign w:val="center"/>
          </w:tcPr>
          <w:p w14:paraId="664770CC">
            <w:pPr>
              <w:keepNext w:val="0"/>
              <w:keepLines w:val="0"/>
              <w:pageBreakBefore w:val="0"/>
              <w:widowControl w:val="0"/>
              <w:numPr>
                <w:ilvl w:val="0"/>
                <w:numId w:val="0"/>
              </w:numPr>
              <w:suppressLineNumbers w:val="0"/>
              <w:kinsoku/>
              <w:wordWrap/>
              <w:overflowPunct/>
              <w:topLinePunct w:val="0"/>
              <w:autoSpaceDE/>
              <w:autoSpaceDN/>
              <w:bidi w:val="0"/>
              <w:adjustRightInd/>
              <w:snapToGrid/>
              <w:spacing w:line="440" w:lineRule="exact"/>
              <w:ind w:leftChars="0"/>
              <w:jc w:val="center"/>
              <w:textAlignment w:val="center"/>
              <w:rPr>
                <w:rFonts w:hint="default" w:ascii="Times New Roman" w:hAnsi="Times New Roman" w:eastAsia="仿宋_GB2312" w:cs="Times New Roman"/>
                <w:i w:val="0"/>
                <w:iCs w:val="0"/>
                <w:color w:val="auto"/>
                <w:kern w:val="0"/>
                <w:sz w:val="28"/>
                <w:szCs w:val="28"/>
                <w:highlight w:val="none"/>
                <w:u w:val="none"/>
                <w:lang w:val="en-US" w:eastAsia="zh-CN" w:bidi="ar"/>
              </w:rPr>
            </w:pPr>
            <w:r>
              <w:rPr>
                <w:rFonts w:hint="default" w:ascii="Times New Roman" w:hAnsi="Times New Roman" w:eastAsia="仿宋_GB2312" w:cs="Times New Roman"/>
                <w:i w:val="0"/>
                <w:iCs w:val="0"/>
                <w:color w:val="auto"/>
                <w:kern w:val="0"/>
                <w:sz w:val="28"/>
                <w:szCs w:val="28"/>
                <w:highlight w:val="none"/>
                <w:u w:val="none"/>
                <w:lang w:val="en-US" w:eastAsia="zh-CN" w:bidi="ar"/>
              </w:rPr>
              <w:t>30</w:t>
            </w:r>
          </w:p>
        </w:tc>
        <w:tc>
          <w:tcPr>
            <w:tcW w:w="1636" w:type="dxa"/>
            <w:vMerge w:val="continue"/>
            <w:noWrap w:val="0"/>
            <w:vAlign w:val="center"/>
          </w:tcPr>
          <w:p w14:paraId="35836191">
            <w:pPr>
              <w:keepNext w:val="0"/>
              <w:keepLines w:val="0"/>
              <w:pageBreakBefore w:val="0"/>
              <w:kinsoku/>
              <w:wordWrap/>
              <w:overflowPunct/>
              <w:topLinePunct w:val="0"/>
              <w:autoSpaceDE/>
              <w:autoSpaceDN/>
              <w:bidi w:val="0"/>
              <w:adjustRightInd/>
              <w:snapToGrid/>
              <w:spacing w:line="440" w:lineRule="exact"/>
              <w:jc w:val="center"/>
              <w:rPr>
                <w:rFonts w:hint="default" w:ascii="Times New Roman" w:hAnsi="Times New Roman" w:eastAsia="仿宋_GB2312" w:cs="Times New Roman"/>
                <w:color w:val="auto"/>
                <w:sz w:val="28"/>
                <w:szCs w:val="28"/>
                <w:highlight w:val="none"/>
              </w:rPr>
            </w:pPr>
          </w:p>
        </w:tc>
        <w:tc>
          <w:tcPr>
            <w:tcW w:w="6750" w:type="dxa"/>
            <w:noWrap w:val="0"/>
            <w:vAlign w:val="center"/>
          </w:tcPr>
          <w:p w14:paraId="74EF7789">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left="0" w:leftChars="0" w:right="0" w:rightChars="0"/>
              <w:jc w:val="both"/>
              <w:textAlignment w:val="auto"/>
              <w:rPr>
                <w:rFonts w:hint="default" w:ascii="Times New Roman" w:hAnsi="Times New Roman" w:eastAsia="仿宋_GB2312" w:cs="Times New Roman"/>
                <w:color w:val="auto"/>
                <w:kern w:val="2"/>
                <w:sz w:val="28"/>
                <w:szCs w:val="28"/>
                <w:highlight w:val="none"/>
                <w:lang w:val="en-US" w:eastAsia="zh-CN" w:bidi="ar-SA"/>
              </w:rPr>
            </w:pPr>
            <w:r>
              <w:rPr>
                <w:rFonts w:hint="default" w:ascii="Times New Roman" w:hAnsi="Times New Roman" w:eastAsia="仿宋_GB2312" w:cs="Times New Roman"/>
                <w:color w:val="auto"/>
                <w:kern w:val="0"/>
                <w:sz w:val="28"/>
                <w:szCs w:val="28"/>
                <w:highlight w:val="none"/>
              </w:rPr>
              <w:t>基于舌拭子的分子生物学快速诊断传染病原微生物</w:t>
            </w:r>
          </w:p>
        </w:tc>
      </w:tr>
      <w:tr w14:paraId="73BBA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812" w:type="dxa"/>
            <w:noWrap w:val="0"/>
            <w:vAlign w:val="center"/>
          </w:tcPr>
          <w:p w14:paraId="31894B05">
            <w:pPr>
              <w:keepNext w:val="0"/>
              <w:keepLines w:val="0"/>
              <w:pageBreakBefore w:val="0"/>
              <w:widowControl w:val="0"/>
              <w:numPr>
                <w:ilvl w:val="0"/>
                <w:numId w:val="0"/>
              </w:numPr>
              <w:suppressLineNumbers w:val="0"/>
              <w:kinsoku/>
              <w:wordWrap/>
              <w:overflowPunct/>
              <w:topLinePunct w:val="0"/>
              <w:autoSpaceDE/>
              <w:autoSpaceDN/>
              <w:bidi w:val="0"/>
              <w:adjustRightInd/>
              <w:snapToGrid/>
              <w:spacing w:line="440" w:lineRule="exact"/>
              <w:ind w:leftChars="0"/>
              <w:jc w:val="center"/>
              <w:textAlignment w:val="center"/>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color w:val="auto"/>
                <w:sz w:val="28"/>
                <w:szCs w:val="28"/>
                <w:highlight w:val="none"/>
                <w:lang w:val="en-US" w:eastAsia="zh-CN"/>
              </w:rPr>
              <w:t>31</w:t>
            </w:r>
          </w:p>
        </w:tc>
        <w:tc>
          <w:tcPr>
            <w:tcW w:w="1636" w:type="dxa"/>
            <w:vMerge w:val="restart"/>
            <w:noWrap w:val="0"/>
            <w:vAlign w:val="center"/>
          </w:tcPr>
          <w:p w14:paraId="45D7FC7F">
            <w:pPr>
              <w:keepNext w:val="0"/>
              <w:keepLines w:val="0"/>
              <w:pageBreakBefore w:val="0"/>
              <w:kinsoku/>
              <w:wordWrap/>
              <w:overflowPunct/>
              <w:topLinePunct w:val="0"/>
              <w:autoSpaceDE/>
              <w:autoSpaceDN/>
              <w:bidi w:val="0"/>
              <w:adjustRightInd/>
              <w:snapToGrid/>
              <w:spacing w:line="440" w:lineRule="exact"/>
              <w:jc w:val="center"/>
              <w:rPr>
                <w:rFonts w:hint="default" w:ascii="Times New Roman" w:hAnsi="Times New Roman" w:eastAsia="仿宋_GB2312" w:cs="Times New Roman"/>
                <w:color w:val="auto"/>
                <w:sz w:val="28"/>
                <w:szCs w:val="28"/>
                <w:highlight w:val="none"/>
                <w:lang w:eastAsia="zh-CN"/>
              </w:rPr>
            </w:pPr>
            <w:r>
              <w:rPr>
                <w:rFonts w:hint="default" w:ascii="Times New Roman" w:hAnsi="Times New Roman" w:eastAsia="仿宋_GB2312" w:cs="Times New Roman"/>
                <w:color w:val="auto"/>
                <w:sz w:val="28"/>
                <w:szCs w:val="28"/>
                <w:highlight w:val="none"/>
                <w:lang w:eastAsia="zh-Hans"/>
              </w:rPr>
              <w:t>公共安全</w:t>
            </w:r>
            <w:r>
              <w:rPr>
                <w:rFonts w:hint="default" w:ascii="Times New Roman" w:hAnsi="Times New Roman" w:eastAsia="仿宋_GB2312" w:cs="Times New Roman"/>
                <w:color w:val="auto"/>
                <w:sz w:val="28"/>
                <w:szCs w:val="28"/>
                <w:highlight w:val="none"/>
                <w:lang w:eastAsia="zh-CN"/>
              </w:rPr>
              <w:t>与防灾减灾</w:t>
            </w:r>
          </w:p>
        </w:tc>
        <w:tc>
          <w:tcPr>
            <w:tcW w:w="6750" w:type="dxa"/>
            <w:noWrap w:val="0"/>
            <w:vAlign w:val="center"/>
          </w:tcPr>
          <w:p w14:paraId="48B0426C">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left="0" w:leftChars="0" w:right="0" w:rightChars="0"/>
              <w:jc w:val="both"/>
              <w:textAlignment w:val="auto"/>
              <w:rPr>
                <w:rFonts w:hint="default" w:ascii="Times New Roman" w:hAnsi="Times New Roman" w:eastAsia="仿宋_GB2312" w:cs="Times New Roman"/>
                <w:color w:val="auto"/>
                <w:kern w:val="2"/>
                <w:sz w:val="28"/>
                <w:szCs w:val="28"/>
                <w:highlight w:val="none"/>
                <w:lang w:val="en-US" w:eastAsia="zh-CN" w:bidi="ar-SA"/>
              </w:rPr>
            </w:pPr>
            <w:r>
              <w:rPr>
                <w:rFonts w:hint="default" w:ascii="Times New Roman" w:hAnsi="Times New Roman" w:eastAsia="仿宋_GB2312" w:cs="Times New Roman"/>
                <w:color w:val="auto"/>
                <w:kern w:val="0"/>
                <w:sz w:val="28"/>
                <w:szCs w:val="28"/>
                <w:highlight w:val="none"/>
              </w:rPr>
              <w:t>多模态协同的烟花爆竹生产安全监测预警关键技术研究和应用</w:t>
            </w:r>
          </w:p>
        </w:tc>
      </w:tr>
      <w:tr w14:paraId="150AE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812" w:type="dxa"/>
            <w:noWrap w:val="0"/>
            <w:vAlign w:val="center"/>
          </w:tcPr>
          <w:p w14:paraId="6602E520">
            <w:pPr>
              <w:keepNext w:val="0"/>
              <w:keepLines w:val="0"/>
              <w:pageBreakBefore w:val="0"/>
              <w:widowControl w:val="0"/>
              <w:numPr>
                <w:ilvl w:val="0"/>
                <w:numId w:val="0"/>
              </w:numPr>
              <w:suppressLineNumbers w:val="0"/>
              <w:kinsoku/>
              <w:wordWrap/>
              <w:overflowPunct/>
              <w:topLinePunct w:val="0"/>
              <w:autoSpaceDE/>
              <w:autoSpaceDN/>
              <w:bidi w:val="0"/>
              <w:adjustRightInd/>
              <w:snapToGrid/>
              <w:spacing w:line="440" w:lineRule="exact"/>
              <w:ind w:leftChars="0"/>
              <w:jc w:val="center"/>
              <w:textAlignment w:val="center"/>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color w:val="auto"/>
                <w:sz w:val="28"/>
                <w:szCs w:val="28"/>
                <w:highlight w:val="none"/>
                <w:lang w:val="en-US" w:eastAsia="zh-CN"/>
              </w:rPr>
              <w:t>32</w:t>
            </w:r>
          </w:p>
        </w:tc>
        <w:tc>
          <w:tcPr>
            <w:tcW w:w="1636" w:type="dxa"/>
            <w:vMerge w:val="continue"/>
            <w:noWrap w:val="0"/>
            <w:vAlign w:val="center"/>
          </w:tcPr>
          <w:p w14:paraId="46F1F588">
            <w:pPr>
              <w:keepNext w:val="0"/>
              <w:keepLines w:val="0"/>
              <w:pageBreakBefore w:val="0"/>
              <w:kinsoku/>
              <w:wordWrap/>
              <w:overflowPunct/>
              <w:topLinePunct w:val="0"/>
              <w:autoSpaceDE/>
              <w:autoSpaceDN/>
              <w:bidi w:val="0"/>
              <w:adjustRightInd/>
              <w:snapToGrid/>
              <w:spacing w:line="440" w:lineRule="exact"/>
              <w:jc w:val="center"/>
              <w:rPr>
                <w:rFonts w:hint="default" w:ascii="Times New Roman" w:hAnsi="Times New Roman" w:eastAsia="仿宋_GB2312" w:cs="Times New Roman"/>
                <w:color w:val="auto"/>
                <w:sz w:val="28"/>
                <w:szCs w:val="28"/>
                <w:highlight w:val="none"/>
              </w:rPr>
            </w:pPr>
          </w:p>
        </w:tc>
        <w:tc>
          <w:tcPr>
            <w:tcW w:w="6750" w:type="dxa"/>
            <w:noWrap w:val="0"/>
            <w:vAlign w:val="center"/>
          </w:tcPr>
          <w:p w14:paraId="36EC60D7">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left="0" w:leftChars="0" w:right="0" w:rightChars="0"/>
              <w:jc w:val="both"/>
              <w:textAlignment w:val="auto"/>
              <w:rPr>
                <w:rFonts w:hint="default" w:ascii="Times New Roman" w:hAnsi="Times New Roman" w:eastAsia="仿宋_GB2312" w:cs="Times New Roman"/>
                <w:color w:val="auto"/>
                <w:kern w:val="2"/>
                <w:sz w:val="28"/>
                <w:szCs w:val="28"/>
                <w:highlight w:val="none"/>
                <w:lang w:val="en-US" w:eastAsia="zh-CN" w:bidi="ar-SA"/>
              </w:rPr>
            </w:pPr>
            <w:r>
              <w:rPr>
                <w:rFonts w:hint="default" w:ascii="Times New Roman" w:hAnsi="Times New Roman" w:eastAsia="仿宋_GB2312" w:cs="Times New Roman"/>
                <w:color w:val="auto"/>
                <w:kern w:val="0"/>
                <w:sz w:val="28"/>
                <w:szCs w:val="28"/>
                <w:highlight w:val="none"/>
              </w:rPr>
              <w:t>监测用光离子化传感器（PID）管件技术研究</w:t>
            </w:r>
          </w:p>
        </w:tc>
      </w:tr>
      <w:tr w14:paraId="647CD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812" w:type="dxa"/>
            <w:noWrap w:val="0"/>
            <w:vAlign w:val="center"/>
          </w:tcPr>
          <w:p w14:paraId="1482AC2B">
            <w:pPr>
              <w:keepNext w:val="0"/>
              <w:keepLines w:val="0"/>
              <w:pageBreakBefore w:val="0"/>
              <w:widowControl w:val="0"/>
              <w:numPr>
                <w:ilvl w:val="0"/>
                <w:numId w:val="0"/>
              </w:numPr>
              <w:suppressLineNumbers w:val="0"/>
              <w:kinsoku/>
              <w:wordWrap/>
              <w:overflowPunct/>
              <w:topLinePunct w:val="0"/>
              <w:autoSpaceDE/>
              <w:autoSpaceDN/>
              <w:bidi w:val="0"/>
              <w:adjustRightInd/>
              <w:snapToGrid/>
              <w:spacing w:line="440" w:lineRule="exact"/>
              <w:ind w:left="0" w:leftChars="0" w:firstLine="0" w:firstLineChars="0"/>
              <w:jc w:val="center"/>
              <w:textAlignment w:val="center"/>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color w:val="auto"/>
                <w:kern w:val="2"/>
                <w:sz w:val="28"/>
                <w:szCs w:val="28"/>
                <w:highlight w:val="none"/>
                <w:lang w:val="en-US" w:eastAsia="zh-CN" w:bidi="ar-SA"/>
              </w:rPr>
              <w:t>33</w:t>
            </w:r>
          </w:p>
        </w:tc>
        <w:tc>
          <w:tcPr>
            <w:tcW w:w="1636" w:type="dxa"/>
            <w:vMerge w:val="continue"/>
            <w:noWrap w:val="0"/>
            <w:vAlign w:val="center"/>
          </w:tcPr>
          <w:p w14:paraId="45333374">
            <w:pPr>
              <w:keepNext w:val="0"/>
              <w:keepLines w:val="0"/>
              <w:pageBreakBefore w:val="0"/>
              <w:kinsoku/>
              <w:wordWrap/>
              <w:overflowPunct/>
              <w:topLinePunct w:val="0"/>
              <w:autoSpaceDE/>
              <w:autoSpaceDN/>
              <w:bidi w:val="0"/>
              <w:adjustRightInd/>
              <w:snapToGrid/>
              <w:spacing w:line="440" w:lineRule="exact"/>
              <w:jc w:val="center"/>
              <w:rPr>
                <w:rFonts w:hint="default" w:ascii="Times New Roman" w:hAnsi="Times New Roman" w:eastAsia="仿宋_GB2312" w:cs="Times New Roman"/>
                <w:color w:val="auto"/>
                <w:sz w:val="28"/>
                <w:szCs w:val="28"/>
                <w:highlight w:val="none"/>
              </w:rPr>
            </w:pPr>
          </w:p>
        </w:tc>
        <w:tc>
          <w:tcPr>
            <w:tcW w:w="6750" w:type="dxa"/>
            <w:noWrap w:val="0"/>
            <w:vAlign w:val="center"/>
          </w:tcPr>
          <w:p w14:paraId="1F698928">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left="0" w:leftChars="0" w:right="0" w:rightChars="0"/>
              <w:jc w:val="both"/>
              <w:textAlignment w:val="auto"/>
              <w:rPr>
                <w:rFonts w:hint="default" w:ascii="Times New Roman" w:hAnsi="Times New Roman" w:eastAsia="仿宋_GB2312" w:cs="Times New Roman"/>
                <w:color w:val="auto"/>
                <w:kern w:val="2"/>
                <w:sz w:val="28"/>
                <w:szCs w:val="28"/>
                <w:highlight w:val="none"/>
                <w:lang w:val="en-US" w:eastAsia="zh-CN" w:bidi="ar-SA"/>
              </w:rPr>
            </w:pPr>
            <w:r>
              <w:rPr>
                <w:rFonts w:hint="default" w:ascii="Times New Roman" w:hAnsi="Times New Roman" w:eastAsia="仿宋_GB2312" w:cs="Times New Roman"/>
                <w:color w:val="auto"/>
                <w:kern w:val="0"/>
                <w:sz w:val="28"/>
                <w:szCs w:val="28"/>
                <w:highlight w:val="none"/>
              </w:rPr>
              <w:t>长距离堤防渗流和管涌智能感知与预警关键技术及应用示范</w:t>
            </w:r>
          </w:p>
        </w:tc>
      </w:tr>
      <w:tr w14:paraId="0C469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812" w:type="dxa"/>
            <w:noWrap w:val="0"/>
            <w:vAlign w:val="center"/>
          </w:tcPr>
          <w:p w14:paraId="4E0C1F57">
            <w:pPr>
              <w:keepNext w:val="0"/>
              <w:keepLines w:val="0"/>
              <w:pageBreakBefore w:val="0"/>
              <w:widowControl w:val="0"/>
              <w:numPr>
                <w:ilvl w:val="0"/>
                <w:numId w:val="0"/>
              </w:numPr>
              <w:suppressLineNumbers w:val="0"/>
              <w:kinsoku/>
              <w:wordWrap/>
              <w:overflowPunct/>
              <w:topLinePunct w:val="0"/>
              <w:autoSpaceDE/>
              <w:autoSpaceDN/>
              <w:bidi w:val="0"/>
              <w:adjustRightInd/>
              <w:snapToGrid/>
              <w:spacing w:line="440" w:lineRule="exact"/>
              <w:ind w:left="0" w:leftChars="0" w:firstLine="0" w:firstLineChars="0"/>
              <w:jc w:val="center"/>
              <w:textAlignment w:val="center"/>
              <w:rPr>
                <w:rFonts w:hint="default" w:ascii="Times New Roman" w:hAnsi="Times New Roman" w:eastAsia="仿宋_GB2312" w:cs="Times New Roman"/>
                <w:color w:val="auto"/>
                <w:kern w:val="2"/>
                <w:sz w:val="28"/>
                <w:szCs w:val="28"/>
                <w:highlight w:val="none"/>
                <w:lang w:val="en-US" w:eastAsia="zh-CN" w:bidi="ar-SA"/>
              </w:rPr>
            </w:pPr>
            <w:r>
              <w:rPr>
                <w:rFonts w:hint="default" w:ascii="Times New Roman" w:hAnsi="Times New Roman" w:eastAsia="仿宋_GB2312" w:cs="Times New Roman"/>
                <w:color w:val="auto"/>
                <w:kern w:val="2"/>
                <w:sz w:val="28"/>
                <w:szCs w:val="28"/>
                <w:highlight w:val="none"/>
                <w:lang w:val="en-US" w:eastAsia="zh-CN" w:bidi="ar-SA"/>
              </w:rPr>
              <w:t>34</w:t>
            </w:r>
          </w:p>
        </w:tc>
        <w:tc>
          <w:tcPr>
            <w:tcW w:w="1636" w:type="dxa"/>
            <w:vMerge w:val="restart"/>
            <w:noWrap w:val="0"/>
            <w:vAlign w:val="center"/>
          </w:tcPr>
          <w:p w14:paraId="1B173FDB">
            <w:pPr>
              <w:keepNext w:val="0"/>
              <w:keepLines w:val="0"/>
              <w:pageBreakBefore w:val="0"/>
              <w:kinsoku/>
              <w:wordWrap/>
              <w:overflowPunct/>
              <w:topLinePunct w:val="0"/>
              <w:autoSpaceDE/>
              <w:autoSpaceDN/>
              <w:bidi w:val="0"/>
              <w:adjustRightInd/>
              <w:snapToGrid/>
              <w:spacing w:line="440" w:lineRule="exact"/>
              <w:jc w:val="center"/>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color w:val="auto"/>
                <w:sz w:val="28"/>
                <w:szCs w:val="28"/>
                <w:highlight w:val="none"/>
                <w:lang w:val="en-US" w:eastAsia="zh-CN"/>
              </w:rPr>
              <w:t>文化科技与现</w:t>
            </w:r>
            <w:r>
              <w:rPr>
                <w:rFonts w:hint="default" w:ascii="Times New Roman" w:hAnsi="Times New Roman" w:eastAsia="仿宋_GB2312" w:cs="Times New Roman"/>
                <w:color w:val="auto"/>
                <w:spacing w:val="-20"/>
                <w:sz w:val="28"/>
                <w:szCs w:val="28"/>
                <w:highlight w:val="none"/>
                <w:lang w:val="en-US" w:eastAsia="zh-CN"/>
              </w:rPr>
              <w:t>代服务业</w:t>
            </w:r>
          </w:p>
        </w:tc>
        <w:tc>
          <w:tcPr>
            <w:tcW w:w="6750" w:type="dxa"/>
            <w:noWrap w:val="0"/>
            <w:vAlign w:val="center"/>
          </w:tcPr>
          <w:p w14:paraId="7CF5B35F">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left="0" w:leftChars="0" w:right="0" w:rightChars="0"/>
              <w:jc w:val="both"/>
              <w:textAlignment w:val="auto"/>
              <w:rPr>
                <w:rFonts w:hint="default" w:ascii="Times New Roman" w:hAnsi="Times New Roman" w:eastAsia="仿宋_GB2312" w:cs="Times New Roman"/>
                <w:color w:val="auto"/>
                <w:kern w:val="2"/>
                <w:sz w:val="28"/>
                <w:szCs w:val="28"/>
                <w:highlight w:val="none"/>
                <w:lang w:val="en-US" w:eastAsia="zh-CN" w:bidi="ar-SA"/>
              </w:rPr>
            </w:pPr>
            <w:r>
              <w:rPr>
                <w:rFonts w:hint="default" w:ascii="Times New Roman" w:hAnsi="Times New Roman" w:eastAsia="仿宋_GB2312" w:cs="Times New Roman"/>
                <w:color w:val="auto"/>
                <w:kern w:val="0"/>
                <w:sz w:val="28"/>
                <w:szCs w:val="28"/>
                <w:highlight w:val="none"/>
              </w:rPr>
              <w:t>多模态</w:t>
            </w:r>
            <w:r>
              <w:rPr>
                <w:rFonts w:hint="default" w:ascii="Times New Roman" w:hAnsi="Times New Roman" w:eastAsia="仿宋_GB2312" w:cs="Times New Roman"/>
                <w:color w:val="auto"/>
                <w:kern w:val="0"/>
                <w:sz w:val="28"/>
                <w:szCs w:val="28"/>
                <w:highlight w:val="none"/>
                <w:lang w:eastAsia="zh-CN"/>
              </w:rPr>
              <w:t>媒体大模型及视听内容生产发布关键技术研究与应用</w:t>
            </w:r>
          </w:p>
        </w:tc>
      </w:tr>
      <w:tr w14:paraId="0A7AA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812" w:type="dxa"/>
            <w:noWrap w:val="0"/>
            <w:vAlign w:val="center"/>
          </w:tcPr>
          <w:p w14:paraId="0F066AA7">
            <w:pPr>
              <w:keepNext w:val="0"/>
              <w:keepLines w:val="0"/>
              <w:pageBreakBefore w:val="0"/>
              <w:widowControl w:val="0"/>
              <w:numPr>
                <w:ilvl w:val="0"/>
                <w:numId w:val="0"/>
              </w:numPr>
              <w:suppressLineNumbers w:val="0"/>
              <w:kinsoku/>
              <w:wordWrap/>
              <w:overflowPunct/>
              <w:topLinePunct w:val="0"/>
              <w:autoSpaceDE/>
              <w:autoSpaceDN/>
              <w:bidi w:val="0"/>
              <w:adjustRightInd/>
              <w:snapToGrid/>
              <w:spacing w:line="440" w:lineRule="exact"/>
              <w:ind w:leftChars="0"/>
              <w:jc w:val="center"/>
              <w:textAlignment w:val="center"/>
              <w:rPr>
                <w:rFonts w:hint="default" w:ascii="Times New Roman" w:hAnsi="Times New Roman" w:eastAsia="仿宋_GB2312" w:cs="Times New Roman"/>
                <w:color w:val="auto"/>
                <w:kern w:val="2"/>
                <w:sz w:val="28"/>
                <w:szCs w:val="28"/>
                <w:highlight w:val="none"/>
                <w:lang w:val="en-US" w:eastAsia="zh-CN" w:bidi="ar-SA"/>
              </w:rPr>
            </w:pPr>
            <w:r>
              <w:rPr>
                <w:rFonts w:hint="default" w:ascii="Times New Roman" w:hAnsi="Times New Roman" w:eastAsia="仿宋_GB2312" w:cs="Times New Roman"/>
                <w:color w:val="auto"/>
                <w:kern w:val="2"/>
                <w:sz w:val="28"/>
                <w:szCs w:val="28"/>
                <w:highlight w:val="none"/>
                <w:lang w:val="en-US" w:eastAsia="zh-CN" w:bidi="ar-SA"/>
              </w:rPr>
              <w:t>35</w:t>
            </w:r>
          </w:p>
        </w:tc>
        <w:tc>
          <w:tcPr>
            <w:tcW w:w="1636" w:type="dxa"/>
            <w:vMerge w:val="continue"/>
            <w:noWrap w:val="0"/>
            <w:vAlign w:val="center"/>
          </w:tcPr>
          <w:p w14:paraId="5E266CB4">
            <w:pPr>
              <w:keepNext w:val="0"/>
              <w:keepLines w:val="0"/>
              <w:pageBreakBefore w:val="0"/>
              <w:kinsoku/>
              <w:wordWrap/>
              <w:overflowPunct/>
              <w:topLinePunct w:val="0"/>
              <w:autoSpaceDE/>
              <w:autoSpaceDN/>
              <w:bidi w:val="0"/>
              <w:adjustRightInd/>
              <w:snapToGrid/>
              <w:spacing w:line="440" w:lineRule="exact"/>
              <w:jc w:val="center"/>
              <w:rPr>
                <w:rFonts w:hint="default" w:ascii="Times New Roman" w:hAnsi="Times New Roman" w:eastAsia="仿宋_GB2312" w:cs="Times New Roman"/>
                <w:color w:val="auto"/>
                <w:sz w:val="28"/>
                <w:szCs w:val="28"/>
                <w:highlight w:val="none"/>
              </w:rPr>
            </w:pPr>
          </w:p>
        </w:tc>
        <w:tc>
          <w:tcPr>
            <w:tcW w:w="6750" w:type="dxa"/>
            <w:noWrap w:val="0"/>
            <w:vAlign w:val="center"/>
          </w:tcPr>
          <w:p w14:paraId="238DC978">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left="0" w:leftChars="0" w:right="0" w:rightChars="0"/>
              <w:jc w:val="both"/>
              <w:textAlignment w:val="auto"/>
              <w:rPr>
                <w:rFonts w:hint="default" w:ascii="Times New Roman" w:hAnsi="Times New Roman" w:eastAsia="仿宋_GB2312" w:cs="Times New Roman"/>
                <w:color w:val="auto"/>
                <w:kern w:val="2"/>
                <w:sz w:val="28"/>
                <w:szCs w:val="28"/>
                <w:highlight w:val="none"/>
                <w:lang w:val="en-US" w:eastAsia="zh-CN" w:bidi="ar-SA"/>
              </w:rPr>
            </w:pPr>
            <w:r>
              <w:rPr>
                <w:rFonts w:hint="default" w:ascii="Times New Roman" w:hAnsi="Times New Roman" w:eastAsia="仿宋_GB2312" w:cs="Times New Roman"/>
                <w:color w:val="auto"/>
                <w:kern w:val="0"/>
                <w:sz w:val="28"/>
                <w:szCs w:val="28"/>
                <w:highlight w:val="none"/>
                <w:lang w:eastAsia="zh-CN"/>
              </w:rPr>
              <w:t>赣鄱文化古籍数字化工程及应用示范</w:t>
            </w:r>
          </w:p>
        </w:tc>
      </w:tr>
      <w:tr w14:paraId="1F6CD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812" w:type="dxa"/>
            <w:noWrap w:val="0"/>
            <w:vAlign w:val="center"/>
          </w:tcPr>
          <w:p w14:paraId="3A15E26B">
            <w:pPr>
              <w:keepNext w:val="0"/>
              <w:keepLines w:val="0"/>
              <w:pageBreakBefore w:val="0"/>
              <w:widowControl w:val="0"/>
              <w:numPr>
                <w:ilvl w:val="0"/>
                <w:numId w:val="0"/>
              </w:numPr>
              <w:suppressLineNumbers w:val="0"/>
              <w:kinsoku/>
              <w:wordWrap/>
              <w:overflowPunct/>
              <w:topLinePunct w:val="0"/>
              <w:autoSpaceDE/>
              <w:autoSpaceDN/>
              <w:bidi w:val="0"/>
              <w:adjustRightInd/>
              <w:snapToGrid/>
              <w:spacing w:line="440" w:lineRule="exact"/>
              <w:ind w:left="0" w:leftChars="0" w:firstLine="0" w:firstLineChars="0"/>
              <w:jc w:val="center"/>
              <w:textAlignment w:val="center"/>
              <w:rPr>
                <w:rFonts w:hint="default" w:ascii="Times New Roman" w:hAnsi="Times New Roman" w:eastAsia="仿宋_GB2312" w:cs="Times New Roman"/>
                <w:color w:val="auto"/>
                <w:kern w:val="2"/>
                <w:sz w:val="28"/>
                <w:szCs w:val="28"/>
                <w:highlight w:val="none"/>
                <w:lang w:val="en-US" w:eastAsia="zh-CN" w:bidi="ar-SA"/>
              </w:rPr>
            </w:pPr>
            <w:r>
              <w:rPr>
                <w:rFonts w:hint="default" w:ascii="Times New Roman" w:hAnsi="Times New Roman" w:eastAsia="仿宋_GB2312" w:cs="Times New Roman"/>
                <w:color w:val="auto"/>
                <w:kern w:val="2"/>
                <w:sz w:val="28"/>
                <w:szCs w:val="28"/>
                <w:highlight w:val="none"/>
                <w:lang w:val="en-US" w:eastAsia="zh-CN" w:bidi="ar-SA"/>
              </w:rPr>
              <w:t>36</w:t>
            </w:r>
          </w:p>
        </w:tc>
        <w:tc>
          <w:tcPr>
            <w:tcW w:w="1636" w:type="dxa"/>
            <w:vMerge w:val="restart"/>
            <w:noWrap w:val="0"/>
            <w:vAlign w:val="center"/>
          </w:tcPr>
          <w:p w14:paraId="66C76D91">
            <w:pPr>
              <w:keepNext w:val="0"/>
              <w:keepLines w:val="0"/>
              <w:pageBreakBefore w:val="0"/>
              <w:kinsoku/>
              <w:wordWrap/>
              <w:overflowPunct/>
              <w:topLinePunct w:val="0"/>
              <w:autoSpaceDE/>
              <w:autoSpaceDN/>
              <w:bidi w:val="0"/>
              <w:adjustRightInd/>
              <w:snapToGrid/>
              <w:spacing w:line="440" w:lineRule="exact"/>
              <w:jc w:val="center"/>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交通与城镇化建设</w:t>
            </w:r>
          </w:p>
        </w:tc>
        <w:tc>
          <w:tcPr>
            <w:tcW w:w="6750" w:type="dxa"/>
            <w:noWrap w:val="0"/>
            <w:vAlign w:val="center"/>
          </w:tcPr>
          <w:p w14:paraId="7637678C">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left="0" w:leftChars="0" w:right="0" w:rightChars="0"/>
              <w:jc w:val="both"/>
              <w:textAlignment w:val="auto"/>
              <w:rPr>
                <w:rFonts w:hint="default" w:ascii="Times New Roman" w:hAnsi="Times New Roman" w:eastAsia="仿宋_GB2312" w:cs="Times New Roman"/>
                <w:color w:val="auto"/>
                <w:kern w:val="2"/>
                <w:sz w:val="28"/>
                <w:szCs w:val="28"/>
                <w:highlight w:val="none"/>
                <w:lang w:val="en-US" w:eastAsia="zh-CN" w:bidi="ar-SA"/>
              </w:rPr>
            </w:pPr>
            <w:r>
              <w:rPr>
                <w:rFonts w:hint="default" w:ascii="Times New Roman" w:hAnsi="Times New Roman" w:eastAsia="仿宋_GB2312" w:cs="Times New Roman"/>
                <w:color w:val="auto"/>
                <w:kern w:val="0"/>
                <w:sz w:val="28"/>
                <w:szCs w:val="28"/>
                <w:highlight w:val="none"/>
              </w:rPr>
              <w:t>基于多源数据智能监测的路基长期服役状态预警关键技术研究</w:t>
            </w:r>
          </w:p>
        </w:tc>
      </w:tr>
      <w:tr w14:paraId="19D1C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jc w:val="center"/>
        </w:trPr>
        <w:tc>
          <w:tcPr>
            <w:tcW w:w="812" w:type="dxa"/>
            <w:noWrap w:val="0"/>
            <w:vAlign w:val="center"/>
          </w:tcPr>
          <w:p w14:paraId="3E3D80B0">
            <w:pPr>
              <w:keepNext w:val="0"/>
              <w:keepLines w:val="0"/>
              <w:pageBreakBefore w:val="0"/>
              <w:widowControl w:val="0"/>
              <w:numPr>
                <w:ilvl w:val="0"/>
                <w:numId w:val="0"/>
              </w:numPr>
              <w:suppressLineNumbers w:val="0"/>
              <w:kinsoku/>
              <w:wordWrap/>
              <w:overflowPunct/>
              <w:topLinePunct w:val="0"/>
              <w:autoSpaceDE/>
              <w:autoSpaceDN/>
              <w:bidi w:val="0"/>
              <w:adjustRightInd/>
              <w:snapToGrid/>
              <w:spacing w:line="440" w:lineRule="exact"/>
              <w:ind w:leftChars="0"/>
              <w:jc w:val="center"/>
              <w:textAlignment w:val="center"/>
              <w:rPr>
                <w:rFonts w:hint="default" w:ascii="Times New Roman" w:hAnsi="Times New Roman" w:eastAsia="仿宋_GB2312" w:cs="Times New Roman"/>
                <w:color w:val="auto"/>
                <w:kern w:val="2"/>
                <w:sz w:val="28"/>
                <w:szCs w:val="28"/>
                <w:highlight w:val="none"/>
                <w:lang w:val="en-US" w:eastAsia="zh-CN" w:bidi="ar-SA"/>
              </w:rPr>
            </w:pPr>
            <w:r>
              <w:rPr>
                <w:rFonts w:hint="default" w:ascii="Times New Roman" w:hAnsi="Times New Roman" w:eastAsia="仿宋_GB2312" w:cs="Times New Roman"/>
                <w:color w:val="auto"/>
                <w:kern w:val="2"/>
                <w:sz w:val="28"/>
                <w:szCs w:val="28"/>
                <w:highlight w:val="none"/>
                <w:lang w:val="en-US" w:eastAsia="zh-CN" w:bidi="ar-SA"/>
              </w:rPr>
              <w:t>37</w:t>
            </w:r>
          </w:p>
        </w:tc>
        <w:tc>
          <w:tcPr>
            <w:tcW w:w="1636" w:type="dxa"/>
            <w:vMerge w:val="continue"/>
            <w:noWrap w:val="0"/>
            <w:vAlign w:val="center"/>
          </w:tcPr>
          <w:p w14:paraId="5D0BB438">
            <w:pPr>
              <w:keepNext w:val="0"/>
              <w:keepLines w:val="0"/>
              <w:pageBreakBefore w:val="0"/>
              <w:kinsoku/>
              <w:wordWrap/>
              <w:overflowPunct/>
              <w:topLinePunct w:val="0"/>
              <w:autoSpaceDE/>
              <w:autoSpaceDN/>
              <w:bidi w:val="0"/>
              <w:adjustRightInd/>
              <w:snapToGrid/>
              <w:spacing w:line="440" w:lineRule="exact"/>
              <w:jc w:val="center"/>
              <w:rPr>
                <w:rFonts w:hint="default" w:ascii="Times New Roman" w:hAnsi="Times New Roman" w:eastAsia="仿宋_GB2312" w:cs="Times New Roman"/>
                <w:color w:val="auto"/>
                <w:sz w:val="28"/>
                <w:szCs w:val="28"/>
                <w:highlight w:val="none"/>
              </w:rPr>
            </w:pPr>
          </w:p>
        </w:tc>
        <w:tc>
          <w:tcPr>
            <w:tcW w:w="6750" w:type="dxa"/>
            <w:noWrap w:val="0"/>
            <w:vAlign w:val="center"/>
          </w:tcPr>
          <w:p w14:paraId="2435F10C">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ind w:left="0" w:leftChars="0" w:right="0" w:rightChars="0"/>
              <w:jc w:val="both"/>
              <w:textAlignment w:val="auto"/>
              <w:rPr>
                <w:rFonts w:hint="default" w:ascii="Times New Roman" w:hAnsi="Times New Roman" w:eastAsia="仿宋_GB2312" w:cs="Times New Roman"/>
                <w:color w:val="auto"/>
                <w:kern w:val="2"/>
                <w:sz w:val="28"/>
                <w:szCs w:val="28"/>
                <w:highlight w:val="none"/>
                <w:lang w:val="en-US" w:eastAsia="zh-CN" w:bidi="ar-SA"/>
              </w:rPr>
            </w:pPr>
            <w:r>
              <w:rPr>
                <w:rFonts w:hint="default" w:ascii="Times New Roman" w:hAnsi="Times New Roman" w:eastAsia="仿宋_GB2312" w:cs="Times New Roman"/>
                <w:color w:val="auto"/>
                <w:kern w:val="0"/>
                <w:sz w:val="28"/>
                <w:szCs w:val="28"/>
                <w:highlight w:val="none"/>
                <w:lang w:eastAsia="zh-CN"/>
              </w:rPr>
              <w:t>基于CIM数字底座的老旧社区低碳更新潜力评估与空间优化策略研究</w:t>
            </w:r>
          </w:p>
        </w:tc>
      </w:tr>
    </w:tbl>
    <w:p w14:paraId="74CF0321">
      <w:pPr>
        <w:keepNext w:val="0"/>
        <w:keepLines w:val="0"/>
        <w:pageBreakBefore w:val="0"/>
        <w:widowControl w:val="0"/>
        <w:kinsoku/>
        <w:wordWrap/>
        <w:overflowPunct/>
        <w:topLinePunct w:val="0"/>
        <w:autoSpaceDE/>
        <w:autoSpaceDN/>
        <w:bidi w:val="0"/>
        <w:adjustRightInd/>
        <w:snapToGrid/>
        <w:spacing w:afterLines="0" w:line="600" w:lineRule="exact"/>
        <w:ind w:firstLine="640" w:firstLineChars="200"/>
        <w:textAlignment w:val="auto"/>
        <w:outlineLvl w:val="0"/>
        <w:rPr>
          <w:rFonts w:hint="default" w:ascii="Times New Roman" w:hAnsi="Times New Roman" w:eastAsia="黑体" w:cs="Times New Roman"/>
          <w:b w:val="0"/>
          <w:bCs w:val="0"/>
          <w:color w:val="auto"/>
          <w:sz w:val="32"/>
          <w:szCs w:val="32"/>
          <w:highlight w:val="none"/>
          <w:lang w:val="en-US" w:eastAsia="zh-CN"/>
        </w:rPr>
      </w:pPr>
    </w:p>
    <w:p w14:paraId="6A84934E">
      <w:pPr>
        <w:keepNext w:val="0"/>
        <w:keepLines w:val="0"/>
        <w:pageBreakBefore w:val="0"/>
        <w:widowControl w:val="0"/>
        <w:kinsoku/>
        <w:wordWrap/>
        <w:overflowPunct/>
        <w:topLinePunct w:val="0"/>
        <w:autoSpaceDE/>
        <w:autoSpaceDN/>
        <w:bidi w:val="0"/>
        <w:adjustRightInd/>
        <w:snapToGrid/>
        <w:spacing w:afterLines="0" w:line="600" w:lineRule="exact"/>
        <w:ind w:firstLine="640" w:firstLineChars="200"/>
        <w:textAlignment w:val="auto"/>
        <w:outlineLvl w:val="0"/>
        <w:rPr>
          <w:rFonts w:hint="default" w:ascii="Times New Roman" w:hAnsi="Times New Roman" w:eastAsia="黑体" w:cs="Times New Roman"/>
          <w:b w:val="0"/>
          <w:bCs w:val="0"/>
          <w:color w:val="auto"/>
          <w:sz w:val="32"/>
          <w:szCs w:val="32"/>
          <w:highlight w:val="none"/>
          <w:lang w:val="en-US" w:eastAsia="zh-CN"/>
        </w:rPr>
      </w:pPr>
      <w:r>
        <w:rPr>
          <w:rFonts w:hint="default" w:ascii="Times New Roman" w:hAnsi="Times New Roman" w:eastAsia="黑体" w:cs="Times New Roman"/>
          <w:b w:val="0"/>
          <w:bCs w:val="0"/>
          <w:color w:val="auto"/>
          <w:sz w:val="32"/>
          <w:szCs w:val="32"/>
          <w:highlight w:val="none"/>
          <w:lang w:val="en-US" w:eastAsia="zh-CN"/>
        </w:rPr>
        <w:t>二、指南内容</w:t>
      </w:r>
    </w:p>
    <w:p w14:paraId="41006A7F">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0"/>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eastAsia="zh-CN"/>
        </w:rPr>
        <w:t>（</w:t>
      </w:r>
      <w:r>
        <w:rPr>
          <w:rFonts w:hint="default" w:ascii="Times New Roman" w:hAnsi="Times New Roman" w:eastAsia="楷体_GB2312" w:cs="Times New Roman"/>
          <w:b/>
          <w:bCs/>
          <w:color w:val="auto"/>
          <w:sz w:val="32"/>
          <w:szCs w:val="32"/>
          <w:highlight w:val="none"/>
          <w:lang w:val="en-US" w:eastAsia="zh-CN"/>
        </w:rPr>
        <w:t>一</w:t>
      </w:r>
      <w:r>
        <w:rPr>
          <w:rFonts w:hint="default" w:ascii="Times New Roman" w:hAnsi="Times New Roman" w:eastAsia="楷体_GB2312" w:cs="Times New Roman"/>
          <w:b/>
          <w:bCs/>
          <w:color w:val="auto"/>
          <w:sz w:val="32"/>
          <w:szCs w:val="32"/>
          <w:highlight w:val="none"/>
          <w:lang w:eastAsia="zh-CN"/>
        </w:rPr>
        <w:t>）</w:t>
      </w:r>
      <w:r>
        <w:rPr>
          <w:rFonts w:hint="default" w:ascii="Times New Roman" w:hAnsi="Times New Roman" w:eastAsia="楷体_GB2312" w:cs="Times New Roman"/>
          <w:b/>
          <w:bCs/>
          <w:color w:val="auto"/>
          <w:sz w:val="32"/>
          <w:szCs w:val="32"/>
          <w:highlight w:val="none"/>
          <w:lang w:val="en-US" w:eastAsia="zh-CN"/>
        </w:rPr>
        <w:t>新能源</w:t>
      </w:r>
    </w:p>
    <w:p w14:paraId="1C63A806">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1．干法电芯工艺开发</w:t>
      </w:r>
    </w:p>
    <w:p w14:paraId="6AE2DD91">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9"/>
        <w:rPr>
          <w:rFonts w:hint="default" w:ascii="Times New Roman" w:hAnsi="Times New Roman" w:eastAsia="仿宋_GB2312" w:cs="Times New Roman"/>
          <w:b w:val="0"/>
          <w:bCs w:val="0"/>
          <w:color w:val="auto"/>
          <w:sz w:val="32"/>
          <w:szCs w:val="32"/>
          <w:highlight w:val="none"/>
          <w:lang w:val="en"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突破干法电极产业化瓶颈，推动高一致性、长寿命电极制造，同时显著降低生产成本与环境污染。要求混料均匀性提升：优化粉末均匀性及PTFE纤维化网络包覆效果，媲美湿法工艺的混料均匀性；粘结剂改性与电池性能：研发新型含硅氧烷侧链的氟碳共聚物粘结剂，提升电池首效及循环性能；切边料循环利用：优化极片裁切工艺，将边角料通过熔融再结晶技术转化为前驱体或导电剂回用，提升材料综合利用率，降低废料处理能耗</w:t>
      </w:r>
      <w:r>
        <w:rPr>
          <w:rFonts w:hint="default" w:ascii="Times New Roman" w:hAnsi="Times New Roman" w:eastAsia="仿宋_GB2312" w:cs="Times New Roman"/>
          <w:b w:val="0"/>
          <w:bCs w:val="0"/>
          <w:color w:val="auto"/>
          <w:sz w:val="32"/>
          <w:szCs w:val="32"/>
          <w:highlight w:val="none"/>
          <w:lang w:val="en" w:eastAsia="zh-CN"/>
        </w:rPr>
        <w:t>。</w:t>
      </w:r>
    </w:p>
    <w:p w14:paraId="311DA0AA">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9"/>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相较于相同配方湿法工艺极片膜片电阻≤110%；采用新型粘结剂的干法极片电池首效≥90%，常温1</w:t>
      </w:r>
      <w:r>
        <w:rPr>
          <w:rFonts w:hint="default" w:eastAsia="仿宋_GB2312" w:cs="Times New Roman"/>
          <w:b w:val="0"/>
          <w:bCs w:val="0"/>
          <w:color w:val="auto"/>
          <w:sz w:val="32"/>
          <w:szCs w:val="32"/>
          <w:highlight w:val="none"/>
          <w:lang w:val="en" w:eastAsia="zh-CN"/>
        </w:rPr>
        <w:t xml:space="preserve"> </w:t>
      </w:r>
      <w:r>
        <w:rPr>
          <w:rFonts w:hint="default" w:ascii="Times New Roman" w:hAnsi="Times New Roman" w:eastAsia="仿宋_GB2312" w:cs="Times New Roman"/>
          <w:b w:val="0"/>
          <w:bCs w:val="0"/>
          <w:color w:val="auto"/>
          <w:sz w:val="32"/>
          <w:szCs w:val="32"/>
          <w:highlight w:val="none"/>
          <w:lang w:val="en-US" w:eastAsia="zh-CN"/>
        </w:rPr>
        <w:t>C充放循环1000次容量保持率≥90%；边角料综合回收率≥98%，电极制造成本降低25%。形成涵盖混料设备、粘结剂改性、废料再生等核心技术专利群（≥3项）；联合编制《干法电极工艺技术规范》行业标准；建成基于干法电极的年产0.2 GWh电池中试线。</w:t>
      </w:r>
    </w:p>
    <w:p w14:paraId="2E90B386">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29145192">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申报。</w:t>
      </w:r>
    </w:p>
    <w:p w14:paraId="0AB08180">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2．面向电网薄弱地区新能源消纳和主动支撑的混合储能系统关键技术研究</w:t>
      </w:r>
    </w:p>
    <w:p w14:paraId="1E862C7D">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9"/>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围绕分布式光伏功率出力不稳等特性导致电网薄弱地区用电可靠性受到严重影响的问题，开展面向电网薄弱地区混合储能系统关键技术研究。研究系统效率最优、安全协同控制与智能运维关键技术，研究最优容量配置下的系统拓扑结构设计；设计源-网-荷-储智能协调控制算法，优化混合储能系统的充放电策略，开发实现毫秒级储能切换控制技术；研究故障工况下提升保供能力的混合储能主动支撑控制策略，开发多元储能状态联合估计技术；研制高压直挂主动式储能装置，完成技术落地；开发面向电网薄弱地区新能源消纳和主动支撑的混合储能优化管控系统。</w:t>
      </w:r>
    </w:p>
    <w:p w14:paraId="3E4E2924">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9"/>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面向电网薄弱地区能源自治的分布式混合储能，研发不少于1种容量配置与拓扑结构设计方法；研发3.3</w:t>
      </w:r>
      <w:r>
        <w:rPr>
          <w:rFonts w:hint="default" w:eastAsia="仿宋_GB2312" w:cs="Times New Roman"/>
          <w:b w:val="0"/>
          <w:bCs w:val="0"/>
          <w:color w:val="auto"/>
          <w:sz w:val="32"/>
          <w:szCs w:val="32"/>
          <w:highlight w:val="none"/>
          <w:lang w:val="en" w:eastAsia="zh-CN"/>
        </w:rPr>
        <w:t xml:space="preserve"> </w:t>
      </w:r>
      <w:r>
        <w:rPr>
          <w:rFonts w:hint="default" w:ascii="Times New Roman" w:hAnsi="Times New Roman" w:eastAsia="仿宋_GB2312" w:cs="Times New Roman"/>
          <w:b w:val="0"/>
          <w:bCs w:val="0"/>
          <w:color w:val="auto"/>
          <w:sz w:val="32"/>
          <w:szCs w:val="32"/>
          <w:highlight w:val="none"/>
          <w:lang w:val="en-US" w:eastAsia="zh-CN"/>
        </w:rPr>
        <w:t>kV及以上高压链式直挂式储能变流器1套，具备主动式调节控制能力；研发面向电网薄弱地区的新能源消纳和主动支撑的混合储能协调控制策略；相关设计方法和设计策略被电力用户采用，并在1-2个电网薄弱地区示范应用。提升薄弱电网光伏消纳能力15%以上，降低供电中断时间30%。获得第三方测试报告1项，申请专利3件，开发集成相关方法和策略的混合储能管控系统1套，申请软件著作权2项。</w:t>
      </w:r>
    </w:p>
    <w:p w14:paraId="2C8B5BB2">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35B813E7">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43F350BD">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jc w:val="both"/>
        <w:textAlignment w:val="auto"/>
        <w:outlineLvl w:val="1"/>
        <w:rPr>
          <w:rFonts w:hint="default" w:ascii="Times New Roman" w:hAnsi="Times New Roman" w:eastAsia="仿宋_GB2312" w:cs="Times New Roman"/>
          <w:b/>
          <w:bCs/>
          <w:color w:val="auto"/>
          <w:kern w:val="2"/>
          <w:sz w:val="32"/>
          <w:szCs w:val="32"/>
          <w:highlight w:val="none"/>
          <w:lang w:val="en-US" w:eastAsia="zh-CN" w:bidi="ar-SA"/>
        </w:rPr>
      </w:pPr>
      <w:r>
        <w:rPr>
          <w:rFonts w:hint="default" w:ascii="Times New Roman" w:hAnsi="Times New Roman" w:eastAsia="仿宋_GB2312" w:cs="Times New Roman"/>
          <w:b/>
          <w:bCs/>
          <w:color w:val="auto"/>
          <w:kern w:val="2"/>
          <w:sz w:val="32"/>
          <w:szCs w:val="32"/>
          <w:highlight w:val="none"/>
          <w:lang w:val="en-US" w:eastAsia="zh-CN" w:bidi="ar-SA"/>
        </w:rPr>
        <w:t>3．隧穿氧化钝化全背电极接触光伏电池及组件</w:t>
      </w:r>
    </w:p>
    <w:p w14:paraId="3C19A984">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jc w:val="both"/>
        <w:textAlignment w:val="auto"/>
        <w:outlineLvl w:val="9"/>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bCs/>
          <w:color w:val="auto"/>
          <w:kern w:val="2"/>
          <w:sz w:val="32"/>
          <w:szCs w:val="32"/>
          <w:highlight w:val="none"/>
          <w:lang w:val="en-US" w:eastAsia="zh-CN" w:bidi="ar-SA"/>
        </w:rPr>
        <w:t>研究内容：</w:t>
      </w:r>
      <w:r>
        <w:rPr>
          <w:rFonts w:hint="default" w:ascii="Times New Roman" w:hAnsi="Times New Roman" w:eastAsia="仿宋_GB2312" w:cs="Times New Roman"/>
          <w:b w:val="0"/>
          <w:bCs w:val="0"/>
          <w:color w:val="auto"/>
          <w:kern w:val="2"/>
          <w:sz w:val="32"/>
          <w:szCs w:val="32"/>
          <w:highlight w:val="none"/>
          <w:lang w:val="en-US" w:eastAsia="zh-CN" w:bidi="ar-SA"/>
        </w:rPr>
        <w:t>围绕进一步提升晶硅光伏电池与组件转换效率的难题，开展隧穿氧化钝化全背电极接触光伏电池及组件技术研究。阐明多晶硅载流子选择性钝化接触机理，揭示全背电极光伏电池载流子收集规律；构建背电极图形与电池转换效率、银浆耗量模型，确定本构效模型中参数的试验方法；开发超脉冲激光烧蚀图形化技术,获得最佳n/p区隔离；开发光伏电池局域绝缘技术以及柔性互联技术，提升全背电极电池组件功率。</w:t>
      </w:r>
    </w:p>
    <w:p w14:paraId="36155DEE">
      <w:pPr>
        <w:keepNext w:val="0"/>
        <w:keepLines w:val="0"/>
        <w:pageBreakBefore w:val="0"/>
        <w:widowControl w:val="0"/>
        <w:kinsoku/>
        <w:wordWrap/>
        <w:overflowPunct/>
        <w:topLinePunct w:val="0"/>
        <w:autoSpaceDE/>
        <w:autoSpaceDN/>
        <w:bidi w:val="0"/>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开发隧穿氧化钝化全背电极接触光伏电池，电池尺寸不低于182 mm×105 mm，转换效率不低于27.2%，银浆耗量不高于10 mg/W，电池双面率不低于80%；开发隧穿氧化钝化全背电极接触光伏组件，2382版型组件输出功率不低于680 W，效率不低于24.5%；申请受理发明专利2-3项。</w:t>
      </w:r>
    </w:p>
    <w:p w14:paraId="7575B7C8">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5AC76C58">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1C8ADA82">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4．异质结太阳能电池栅线非接触式增材制造技术</w:t>
      </w:r>
    </w:p>
    <w:p w14:paraId="4D974557">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9"/>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围绕传统丝网印刷异质结太阳能电池栅线银用量大，易出现堵网、漏浆、粘板等问题，开展新型的异质结太阳能电池栅线非接触式增材制造技术及装备开发研究。针对传统光伏导电银浆低温固化导致金属栅线电阻升高和附着力降低现象，开发适用于非接触式增材制造技术的离子型低温导电油墨，研究金属（银或铜）离子在电池表面的低温原位还原固化机理，提升其金属化性能，降低银用量。围绕所开发非接触式增材制造技术及配套低温导电油墨特性，形成稳定的异质结太阳能电池电极栅线非接触增材制造新工艺。</w:t>
      </w:r>
    </w:p>
    <w:p w14:paraId="3BA95DA8">
      <w:pPr>
        <w:keepNext w:val="0"/>
        <w:keepLines w:val="0"/>
        <w:pageBreakBefore w:val="0"/>
        <w:widowControl w:val="0"/>
        <w:kinsoku/>
        <w:wordWrap/>
        <w:overflowPunct/>
        <w:topLinePunct w:val="0"/>
        <w:autoSpaceDE/>
        <w:autoSpaceDN/>
        <w:bidi w:val="0"/>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开发银/铜离子型低温导电油墨各≥1种（其中铜离子型导低温电油墨中的银含量≤30%），烧结温度≤150℃，烧结时长≤30 min,电阻率≤6×10</w:t>
      </w:r>
      <w:r>
        <w:rPr>
          <w:rFonts w:hint="default" w:ascii="Times New Roman" w:hAnsi="Times New Roman" w:eastAsia="仿宋_GB2312" w:cs="Times New Roman"/>
          <w:b w:val="0"/>
          <w:bCs w:val="0"/>
          <w:color w:val="auto"/>
          <w:sz w:val="32"/>
          <w:szCs w:val="32"/>
          <w:highlight w:val="none"/>
          <w:vertAlign w:val="superscript"/>
          <w:lang w:val="en-US" w:eastAsia="zh-CN"/>
        </w:rPr>
        <w:t>-8</w:t>
      </w:r>
      <w:r>
        <w:rPr>
          <w:rFonts w:hint="default" w:ascii="Times New Roman" w:hAnsi="Times New Roman" w:eastAsia="仿宋_GB2312" w:cs="Times New Roman"/>
          <w:b w:val="0"/>
          <w:bCs w:val="0"/>
          <w:color w:val="auto"/>
          <w:sz w:val="32"/>
          <w:szCs w:val="32"/>
          <w:highlight w:val="none"/>
          <w:lang w:val="en-US" w:eastAsia="zh-CN"/>
        </w:rPr>
        <w:t xml:space="preserve"> Ω·m，所打印异质结太阳电池栅线宽度≤15 μm、附着力≥1 N/mm；开发异质结太阳电池栅线非接触式增材制造工艺及装备≥1套,形成匹配≥100 MW的异质结太阳电池金属化非接触式增材制造示范线；制定团体标准1项，申请发明专利3-5项，授权实用新型专利3-5项，发表高水平论文3-5篇。</w:t>
      </w:r>
    </w:p>
    <w:p w14:paraId="0464E85D">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7F5282C0">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1E4C29D7">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5．磷酸二氢锂制备工艺研究</w:t>
      </w:r>
    </w:p>
    <w:p w14:paraId="63BEAE46">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9"/>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围绕“高效、绿色、低成本”核心目标，突破磷酸二氢锂制备技术中杂质净化、资源循环、能耗控制等关键瓶颈。重点突破传统蒸发结晶工艺的高能耗限制，开发低温萃取结晶耦合技术（能耗占比＜30%）以降低成本。实现杂质深度净化技术，包括但不限于主含量满足产品要求。</w:t>
      </w:r>
    </w:p>
    <w:p w14:paraId="18F7F48B">
      <w:pPr>
        <w:keepNext w:val="0"/>
        <w:keepLines w:val="0"/>
        <w:pageBreakBefore w:val="0"/>
        <w:widowControl w:val="0"/>
        <w:kinsoku/>
        <w:wordWrap/>
        <w:overflowPunct/>
        <w:topLinePunct w:val="0"/>
        <w:autoSpaceDE/>
        <w:autoSpaceDN/>
        <w:bidi w:val="0"/>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磷酸二氢锂晶体纯度≥99.5%，Fe</w:t>
      </w:r>
      <w:r>
        <w:rPr>
          <w:rFonts w:hint="default" w:ascii="Times New Roman" w:hAnsi="Times New Roman" w:eastAsia="仿宋_GB2312" w:cs="Times New Roman"/>
          <w:b w:val="0"/>
          <w:bCs w:val="0"/>
          <w:color w:val="auto"/>
          <w:sz w:val="32"/>
          <w:szCs w:val="32"/>
          <w:highlight w:val="none"/>
          <w:vertAlign w:val="superscript"/>
          <w:lang w:val="en-US" w:eastAsia="zh-CN"/>
        </w:rPr>
        <w:t>3+</w:t>
      </w:r>
      <w:r>
        <w:rPr>
          <w:rFonts w:hint="default" w:ascii="Times New Roman" w:hAnsi="Times New Roman" w:eastAsia="仿宋_GB2312" w:cs="Times New Roman"/>
          <w:b w:val="0"/>
          <w:bCs w:val="0"/>
          <w:color w:val="auto"/>
          <w:sz w:val="32"/>
          <w:szCs w:val="32"/>
          <w:highlight w:val="none"/>
          <w:lang w:val="en-US" w:eastAsia="zh-CN"/>
        </w:rPr>
        <w:t>、Al</w:t>
      </w:r>
      <w:r>
        <w:rPr>
          <w:rFonts w:hint="default" w:ascii="Times New Roman" w:hAnsi="Times New Roman" w:eastAsia="仿宋_GB2312" w:cs="Times New Roman"/>
          <w:b w:val="0"/>
          <w:bCs w:val="0"/>
          <w:color w:val="auto"/>
          <w:sz w:val="32"/>
          <w:szCs w:val="32"/>
          <w:highlight w:val="none"/>
          <w:vertAlign w:val="superscript"/>
          <w:lang w:val="en-US" w:eastAsia="zh-CN"/>
        </w:rPr>
        <w:t>3+</w:t>
      </w:r>
      <w:r>
        <w:rPr>
          <w:rFonts w:hint="default" w:ascii="Times New Roman" w:hAnsi="Times New Roman" w:eastAsia="仿宋_GB2312" w:cs="Times New Roman"/>
          <w:b w:val="0"/>
          <w:bCs w:val="0"/>
          <w:color w:val="auto"/>
          <w:sz w:val="32"/>
          <w:szCs w:val="32"/>
          <w:highlight w:val="none"/>
          <w:lang w:val="en-US" w:eastAsia="zh-CN"/>
        </w:rPr>
        <w:t>等杂质≤100 ppm，Na</w:t>
      </w:r>
      <w:r>
        <w:rPr>
          <w:rFonts w:hint="default" w:ascii="Times New Roman" w:hAnsi="Times New Roman" w:eastAsia="仿宋_GB2312" w:cs="Times New Roman"/>
          <w:b w:val="0"/>
          <w:bCs w:val="0"/>
          <w:color w:val="auto"/>
          <w:sz w:val="32"/>
          <w:szCs w:val="32"/>
          <w:highlight w:val="none"/>
          <w:vertAlign w:val="superscript"/>
          <w:lang w:val="en-US" w:eastAsia="zh-CN"/>
        </w:rPr>
        <w:t>+</w:t>
      </w:r>
      <w:r>
        <w:rPr>
          <w:rFonts w:hint="default" w:ascii="Times New Roman" w:hAnsi="Times New Roman" w:eastAsia="仿宋_GB2312" w:cs="Times New Roman"/>
          <w:b w:val="0"/>
          <w:bCs w:val="0"/>
          <w:color w:val="auto"/>
          <w:sz w:val="32"/>
          <w:szCs w:val="32"/>
          <w:highlight w:val="none"/>
          <w:lang w:val="en-US" w:eastAsia="zh-CN"/>
        </w:rPr>
        <w:t>、K</w:t>
      </w:r>
      <w:r>
        <w:rPr>
          <w:rFonts w:hint="default" w:ascii="Times New Roman" w:hAnsi="Times New Roman" w:eastAsia="仿宋_GB2312" w:cs="Times New Roman"/>
          <w:b w:val="0"/>
          <w:bCs w:val="0"/>
          <w:color w:val="auto"/>
          <w:sz w:val="32"/>
          <w:szCs w:val="32"/>
          <w:highlight w:val="none"/>
          <w:vertAlign w:val="superscript"/>
          <w:lang w:val="en-US" w:eastAsia="zh-CN"/>
        </w:rPr>
        <w:t>+</w:t>
      </w:r>
      <w:r>
        <w:rPr>
          <w:rFonts w:hint="default" w:ascii="Times New Roman" w:hAnsi="Times New Roman" w:eastAsia="仿宋_GB2312" w:cs="Times New Roman"/>
          <w:b w:val="0"/>
          <w:bCs w:val="0"/>
          <w:color w:val="auto"/>
          <w:sz w:val="32"/>
          <w:szCs w:val="32"/>
          <w:highlight w:val="none"/>
          <w:lang w:val="en-US" w:eastAsia="zh-CN"/>
        </w:rPr>
        <w:t>等杂质≤50 ppm，水分≤0.25%，满足YS/T 967-2014；单位能耗≤500 kWh/吨，生产效率提升50%（连续化工艺）；开发低温萃取结晶耦合工艺（温度≤50℃，溶剂回收率≥95%），实现规模化连续生产；申请受理发明专利不少于3项；建成5000吨/年绿色化生产线，CO</w:t>
      </w:r>
      <w:r>
        <w:rPr>
          <w:rFonts w:hint="default" w:ascii="Times New Roman" w:hAnsi="Times New Roman" w:eastAsia="仿宋_GB2312" w:cs="Times New Roman"/>
          <w:b w:val="0"/>
          <w:bCs w:val="0"/>
          <w:color w:val="auto"/>
          <w:sz w:val="32"/>
          <w:szCs w:val="32"/>
          <w:highlight w:val="none"/>
          <w:vertAlign w:val="subscript"/>
          <w:lang w:val="en-US" w:eastAsia="zh-CN"/>
        </w:rPr>
        <w:t>2</w:t>
      </w:r>
      <w:r>
        <w:rPr>
          <w:rFonts w:hint="default" w:ascii="Times New Roman" w:hAnsi="Times New Roman" w:eastAsia="仿宋_GB2312" w:cs="Times New Roman"/>
          <w:b w:val="0"/>
          <w:bCs w:val="0"/>
          <w:color w:val="auto"/>
          <w:sz w:val="32"/>
          <w:szCs w:val="32"/>
          <w:highlight w:val="none"/>
          <w:lang w:val="en-US" w:eastAsia="zh-CN"/>
        </w:rPr>
        <w:t>减排超过30%。利用卤水提锂副产物，使磷酸铁锂原料成本下降40%，磷酸铁锂生产成本降低25%。</w:t>
      </w:r>
    </w:p>
    <w:p w14:paraId="2044F5EE">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100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1AAAEE3C">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申报。</w:t>
      </w:r>
    </w:p>
    <w:p w14:paraId="17B378E3">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6．无负极锂离子电池技术开发（青年科学家项目）</w:t>
      </w:r>
    </w:p>
    <w:p w14:paraId="6363AD77">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9"/>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研发无负极锂电池新技术，建立无负极电池生产新工艺，实现更安全、更高能量密度、成本更低的无负极电池的制备和应用。研究锂金属均匀沉积与抑制枝晶生长，固态电解质界面（SEI）膜稳定性和对无负极电池集流体兼容性、电解液优化探索。</w:t>
      </w:r>
    </w:p>
    <w:p w14:paraId="74A72229">
      <w:pPr>
        <w:keepNext w:val="0"/>
        <w:keepLines w:val="0"/>
        <w:pageBreakBefore w:val="0"/>
        <w:widowControl w:val="0"/>
        <w:kinsoku/>
        <w:wordWrap/>
        <w:overflowPunct/>
        <w:topLinePunct w:val="0"/>
        <w:autoSpaceDE/>
        <w:autoSpaceDN/>
        <w:bidi w:val="0"/>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无负极锂电池能量密度≥400 Wh/kg，25℃下循环寿命≥500圈，45℃下循环寿命≥300圈，容量保持率≥80%；制定行业标准/团体标准1项，申请受理发明专利不少于2项，发表高水平论文不少于5篇。</w:t>
      </w:r>
    </w:p>
    <w:p w14:paraId="0ABD2ECD">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75EEF0CA">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6D2C7D8B">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7．稀土固态储氢工艺及核心装备研发（青年科学家项目）</w:t>
      </w:r>
    </w:p>
    <w:p w14:paraId="21FD2DAB">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9"/>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1）优化稀土合金材料加工及导热强化工艺，研制高性能稀土固态储氢材料，构建高性能、高导热、高质量储氢密度的稀土固态储氢材料性能调控方法；探究反应器内多物理化学场的热质传递与反应耦合作用关系，构建大容量储氢反应器结构强化和换热增强方法，开发其热管理系统；探究移动场景下反应系统模块化组装工艺优化方法，建立移动式储氢反应系统接口及装配标准，优选轻量化材料和结构，研制新装备。（2）重点开展基于固态稀土储氢技术的稳态大容量氢增压装备研发。研制基于热化学吸附/脱附的多级耦合材料、快速热响应模块化结构、宽范围压力自适应控制算法等关键技术，开发适配可再生能源驱动的智能温控系统，为满足制备绿氢的多场景氢增压需求提供保障。</w:t>
      </w:r>
    </w:p>
    <w:p w14:paraId="6D2DDC4B">
      <w:pPr>
        <w:keepNext w:val="0"/>
        <w:keepLines w:val="0"/>
        <w:pageBreakBefore w:val="0"/>
        <w:widowControl w:val="0"/>
        <w:kinsoku/>
        <w:wordWrap/>
        <w:overflowPunct/>
        <w:topLinePunct w:val="0"/>
        <w:autoSpaceDE/>
        <w:autoSpaceDN/>
        <w:bidi w:val="0"/>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1）开发高性能大容量轻量化稀土固态储氢工艺和关键核心装备1套；形成高性能稀土储氢材料调控技术1项；集成循环寿命长、充放时间短、结构强度高的轻量化稀土固态储氢新装备1-2套；装备吸放氢循环时间≤2 h，质量储氢密度≥1.5 wt%，储氢压力≥3 MPa，申请受理发明专利不少于4项，发表高水平论文不少于2篇，并推广1-2个工程化场景应用。（2）形成基于固态稀土储氢技术的稳态大容量氢增压装备技术，针对不同氢源要求的氢气压缩环节实现连续工作，规避氢泄漏风险，保证长寿命、大容量氢气输出与宽范围压力输出能力。氢增压装备的压力输出范围15-40 MPa，单机处理量≥10 Nm</w:t>
      </w:r>
      <w:r>
        <w:rPr>
          <w:rFonts w:hint="default" w:ascii="Times New Roman" w:hAnsi="Times New Roman" w:eastAsia="仿宋_GB2312" w:cs="Times New Roman"/>
          <w:b w:val="0"/>
          <w:bCs w:val="0"/>
          <w:color w:val="auto"/>
          <w:sz w:val="32"/>
          <w:szCs w:val="32"/>
          <w:highlight w:val="none"/>
          <w:vertAlign w:val="superscript"/>
          <w:lang w:val="en-US" w:eastAsia="zh-CN"/>
        </w:rPr>
        <w:t>3</w:t>
      </w:r>
      <w:r>
        <w:rPr>
          <w:rFonts w:hint="default" w:ascii="Times New Roman" w:hAnsi="Times New Roman" w:eastAsia="仿宋_GB2312" w:cs="Times New Roman"/>
          <w:b w:val="0"/>
          <w:bCs w:val="0"/>
          <w:color w:val="auto"/>
          <w:sz w:val="32"/>
          <w:szCs w:val="32"/>
          <w:highlight w:val="none"/>
          <w:lang w:val="en-US" w:eastAsia="zh-CN"/>
        </w:rPr>
        <w:t>/h，满足3种以上氢源应用；开发满足客户需求的大容量工程样机并实现稳定运行90天以上；申请受理发明专利不少于3项；建成年产2000吨高性能氢增压固态储氢材料生产线。</w:t>
      </w:r>
    </w:p>
    <w:p w14:paraId="1C635533">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（1）省财政经费概算120万元。（2）省财政经费概算120万元。</w:t>
      </w:r>
    </w:p>
    <w:p w14:paraId="34B7E457">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US" w:eastAsia="zh-CN" w:bidi="ar-SA"/>
        </w:rPr>
        <w:t>本任务拟支持项目数不超过2项，同一研究方向不重复支持。</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申报。</w:t>
      </w:r>
    </w:p>
    <w:p w14:paraId="33C28465">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8．高容量钠离子电池硬碳负极材料的制备与产业化（青年科学家项目）</w:t>
      </w:r>
    </w:p>
    <w:p w14:paraId="61400575">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9"/>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目前钠离子电池硬碳负极材料存在首次库伦效率低、倍率容量低、长循环稳定性差、生产成本高和质量批次差异等技术壁垒，研究硬碳负极材料的结构和形貌调控技术，提高材料容量和倍率性能；研究硬碳负极材料的高效、低成本规模化制备技术，建立低成本高容量硬碳负极材料制造的工程示范。</w:t>
      </w:r>
    </w:p>
    <w:p w14:paraId="7957D790">
      <w:pPr>
        <w:keepNext w:val="0"/>
        <w:keepLines w:val="0"/>
        <w:pageBreakBefore w:val="0"/>
        <w:widowControl w:val="0"/>
        <w:kinsoku/>
        <w:wordWrap/>
        <w:overflowPunct/>
        <w:topLinePunct w:val="0"/>
        <w:autoSpaceDE/>
        <w:autoSpaceDN/>
        <w:bidi w:val="0"/>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硬碳负极材料的压实密度≥1.2 g/cm</w:t>
      </w:r>
      <w:r>
        <w:rPr>
          <w:rFonts w:hint="default" w:ascii="Times New Roman" w:hAnsi="Times New Roman" w:eastAsia="仿宋_GB2312" w:cs="Times New Roman"/>
          <w:b w:val="0"/>
          <w:bCs w:val="0"/>
          <w:color w:val="auto"/>
          <w:sz w:val="32"/>
          <w:szCs w:val="32"/>
          <w:highlight w:val="none"/>
          <w:vertAlign w:val="superscript"/>
          <w:lang w:val="en-US" w:eastAsia="zh-CN"/>
        </w:rPr>
        <w:t>3</w:t>
      </w:r>
      <w:r>
        <w:rPr>
          <w:rFonts w:hint="default" w:ascii="Times New Roman" w:hAnsi="Times New Roman" w:eastAsia="仿宋_GB2312" w:cs="Times New Roman"/>
          <w:b w:val="0"/>
          <w:bCs w:val="0"/>
          <w:color w:val="auto"/>
          <w:sz w:val="32"/>
          <w:szCs w:val="32"/>
          <w:highlight w:val="none"/>
          <w:lang w:val="en-US" w:eastAsia="zh-CN"/>
        </w:rPr>
        <w:t>，比表面积≤10 m</w:t>
      </w:r>
      <w:r>
        <w:rPr>
          <w:rFonts w:hint="default" w:ascii="Times New Roman" w:hAnsi="Times New Roman" w:eastAsia="仿宋_GB2312" w:cs="Times New Roman"/>
          <w:b w:val="0"/>
          <w:bCs w:val="0"/>
          <w:color w:val="auto"/>
          <w:sz w:val="32"/>
          <w:szCs w:val="32"/>
          <w:highlight w:val="none"/>
          <w:vertAlign w:val="superscript"/>
          <w:lang w:val="en-US" w:eastAsia="zh-CN"/>
        </w:rPr>
        <w:t>2</w:t>
      </w:r>
      <w:r>
        <w:rPr>
          <w:rFonts w:hint="default" w:ascii="Times New Roman" w:hAnsi="Times New Roman" w:eastAsia="仿宋_GB2312" w:cs="Times New Roman"/>
          <w:b w:val="0"/>
          <w:bCs w:val="0"/>
          <w:color w:val="auto"/>
          <w:sz w:val="32"/>
          <w:szCs w:val="32"/>
          <w:highlight w:val="none"/>
          <w:lang w:val="en-US" w:eastAsia="zh-CN"/>
        </w:rPr>
        <w:t>/g，磁性杂质&lt;5 ppm，灰分≤0.5%；硬碳负极材料的克容量≥350 mAh/g。钠离子电池能量密度≥160 Wh/kg，首次库伦效率≥90%，-40℃低温放电容量保持率≥80%，1C/1C倍率下循环500周容量保持率≥95%（提供第三方检测报告）。申请受理发明专利不少于3件，建成低成本高容量硬碳负极材料制造的工程示范产线，产能达到1000吨/年。</w:t>
      </w:r>
    </w:p>
    <w:p w14:paraId="2FB71E75">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2D7FA93A">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申报。</w:t>
      </w:r>
    </w:p>
    <w:p w14:paraId="02CC22B7">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0"/>
        <w:rPr>
          <w:rFonts w:hint="default" w:ascii="Times New Roman" w:hAnsi="Times New Roman" w:eastAsia="楷体_GB2312" w:cs="Times New Roman"/>
          <w:b/>
          <w:bCs/>
          <w:color w:val="auto"/>
          <w:sz w:val="32"/>
          <w:szCs w:val="32"/>
          <w:highlight w:val="none"/>
          <w:lang w:eastAsia="zh-CN"/>
        </w:rPr>
      </w:pPr>
      <w:r>
        <w:rPr>
          <w:rFonts w:hint="default" w:ascii="Times New Roman" w:hAnsi="Times New Roman" w:eastAsia="楷体_GB2312" w:cs="Times New Roman"/>
          <w:b/>
          <w:bCs/>
          <w:color w:val="auto"/>
          <w:sz w:val="32"/>
          <w:szCs w:val="32"/>
          <w:highlight w:val="none"/>
          <w:lang w:eastAsia="zh-CN"/>
        </w:rPr>
        <w:t>（</w:t>
      </w:r>
      <w:r>
        <w:rPr>
          <w:rFonts w:hint="default" w:ascii="Times New Roman" w:hAnsi="Times New Roman" w:eastAsia="楷体_GB2312" w:cs="Times New Roman"/>
          <w:b/>
          <w:bCs/>
          <w:color w:val="auto"/>
          <w:sz w:val="32"/>
          <w:szCs w:val="32"/>
          <w:highlight w:val="none"/>
          <w:lang w:val="en-US" w:eastAsia="zh-CN"/>
        </w:rPr>
        <w:t>二</w:t>
      </w:r>
      <w:r>
        <w:rPr>
          <w:rFonts w:hint="default" w:ascii="Times New Roman" w:hAnsi="Times New Roman" w:eastAsia="楷体_GB2312" w:cs="Times New Roman"/>
          <w:b/>
          <w:bCs/>
          <w:color w:val="auto"/>
          <w:sz w:val="32"/>
          <w:szCs w:val="32"/>
          <w:highlight w:val="none"/>
          <w:lang w:eastAsia="zh-CN"/>
        </w:rPr>
        <w:t>）</w:t>
      </w:r>
      <w:r>
        <w:rPr>
          <w:rFonts w:hint="default" w:ascii="Times New Roman" w:hAnsi="Times New Roman" w:eastAsia="楷体_GB2312" w:cs="Times New Roman"/>
          <w:b/>
          <w:bCs/>
          <w:color w:val="auto"/>
          <w:sz w:val="32"/>
          <w:szCs w:val="32"/>
          <w:highlight w:val="none"/>
          <w:lang w:val="en-US" w:eastAsia="zh-CN"/>
        </w:rPr>
        <w:t>生物医药</w:t>
      </w:r>
    </w:p>
    <w:p w14:paraId="3B5A902C">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9．有源医疗器械的关键技术研究</w:t>
      </w:r>
    </w:p>
    <w:p w14:paraId="3FBEFF3B">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9"/>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1）医用超高清荧光3D导航内窥镜的研发。研究荧光激发与接收机理、低光照度成像算法提升灵敏度和特异性；创制双光路系统并优化，探索在有限空间内实现4K双路成像的新方法，开发适合医疗级内窥镜的图像处理算法，解决复杂腔道环境下的成像干扰问题；研究4K白光、荧光与3D融合技术，提高图像的清晰度和细节表现。（2）经自然腔道脉冲电场消融关键技术研发。设计开发符合内镜技术条件下应用的脉冲电场能量递送装置，解决生物电子-组织界面兼容性不佳的共性关键技术问题；针对应用场景的实际需求，研制多种内镜下脉冲电场消融导管；确立关键部件与装置的制造工艺，构建生产工艺规范；完成能量发生系统与能量递送装置的整机集成，研制可用于治疗肝胆胰肿瘤且特征参数可任意调节的脉冲消融设备。（3）国产智能持续葡萄糖监测系统研发及其在江西糖尿病精准防控的应用示范。研究生物膜形成机制和传感器工作原理，开发新型抗生物膜涂层材料，防止生物膜对传感器的干扰；优化酶的配方和固定化工艺，延长传感器的有效使用寿命；完成多维度数据源协同建模、动态风险态势模拟以及交互式动态图谱支持界面构建；联合医疗机构，在城乡老龄化典型区域开展应用示范，形成糖尿病管理江西模式。</w:t>
      </w:r>
    </w:p>
    <w:p w14:paraId="70275699">
      <w:pPr>
        <w:keepNext w:val="0"/>
        <w:keepLines w:val="0"/>
        <w:pageBreakBefore w:val="0"/>
        <w:widowControl w:val="0"/>
        <w:kinsoku/>
        <w:wordWrap/>
        <w:overflowPunct/>
        <w:topLinePunct w:val="0"/>
        <w:autoSpaceDE/>
        <w:autoSpaceDN/>
        <w:bidi w:val="0"/>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（1）研制具备实时双目3D荧光成像内窥镜一套，图像分辨率≥4K(3840x2160像素)，帧率≥60 fps，信噪比不低于40 dB，3D视场角≥80°，图像数字变焦不低于4倍，荧光色彩≥6种，支持4K/3D视频录制，工作距离30-150 mm；获得二类医疗器械注册证书不少于1件，完成量产工艺验证；申请相关发明专利不少于3件、软件著作权不少于2项。（2）完成符合医疗器械质量标准的脉冲电场消融系统工程样机，脉冲发送响应时间100 ms内；脉冲序列周期200 kHz，脉冲电压幅值位400-3000 V，脉冲宽度在600 ns-2 μs（正/负），脉冲上升时间控制在110 ns内，下降时间控制在150 ns内；获得三类医疗器械注册证不少于1件；申请相关专利5件，其中授权相关发明专利不少于1件，获得软件著作权1项。（3）每3分钟自动输出一个血糖值，MARD值低于9%、线性r</w:t>
      </w:r>
      <w:r>
        <w:rPr>
          <w:rFonts w:hint="default" w:ascii="Times New Roman" w:hAnsi="Times New Roman" w:eastAsia="仿宋_GB2312" w:cs="Times New Roman"/>
          <w:b w:val="0"/>
          <w:bCs w:val="0"/>
          <w:color w:val="auto"/>
          <w:sz w:val="32"/>
          <w:szCs w:val="32"/>
          <w:highlight w:val="none"/>
          <w:vertAlign w:val="superscript"/>
          <w:lang w:val="en-US" w:eastAsia="zh-CN"/>
        </w:rPr>
        <w:t>2</w:t>
      </w:r>
      <w:r>
        <w:rPr>
          <w:rFonts w:hint="default" w:ascii="Times New Roman" w:hAnsi="Times New Roman" w:eastAsia="仿宋_GB2312" w:cs="Times New Roman"/>
          <w:b w:val="0"/>
          <w:bCs w:val="0"/>
          <w:color w:val="auto"/>
          <w:sz w:val="32"/>
          <w:szCs w:val="32"/>
          <w:highlight w:val="none"/>
          <w:lang w:val="en-US" w:eastAsia="zh-CN"/>
        </w:rPr>
        <w:t>&gt;0.99，血糖监测范围2-32 mmol/L；实现24 h×15天连续监测；申请相关专利不少于5件，授权相关发明专利不少于1件；获得三类医疗器械注册证1件。</w:t>
      </w:r>
    </w:p>
    <w:p w14:paraId="633B8EA3">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（1）省财政经费概算120万元。（2）省财政经费概算120万元。（3）省财政经费概算100万元。</w:t>
      </w:r>
    </w:p>
    <w:p w14:paraId="77EFC17B">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US" w:eastAsia="zh-CN" w:bidi="ar-SA"/>
        </w:rPr>
        <w:t>本任务拟支持项目数不超过2项，同一研究方向不重复支持。</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申报。</w:t>
      </w:r>
    </w:p>
    <w:p w14:paraId="4E47E772">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10．治疗耐药菌感染特异性抗体的开发</w:t>
      </w:r>
    </w:p>
    <w:p w14:paraId="14453B5E">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9"/>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临床耐药菌感染的治疗难题，开发广谱特异性抗体药物，以满足临床的迫切需求。以合成生物学为基础，开展抗原设计与制备、抗体开发与优化、抗体纯化、临床前评价等方面的研究，开发具有广谱抗菌活性的新型抗体药物，为耐药菌感染提供创新治疗方案。</w:t>
      </w:r>
    </w:p>
    <w:p w14:paraId="276981FC">
      <w:pPr>
        <w:keepNext w:val="0"/>
        <w:keepLines w:val="0"/>
        <w:pageBreakBefore w:val="0"/>
        <w:widowControl w:val="0"/>
        <w:kinsoku/>
        <w:wordWrap/>
        <w:overflowPunct/>
        <w:topLinePunct w:val="0"/>
        <w:autoSpaceDE/>
        <w:autoSpaceDN/>
        <w:bidi w:val="0"/>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筛选合成2-3种耐药菌抗原以及重组蛋白配体，开发1-2种具有自主知识产权、高效低毒的抗耐药菌特异性抗体，完成药学研究和临床前研究，完成IND申请并受理。申请发明专利不少于2件，授权发明专利不少于1件。</w:t>
      </w:r>
    </w:p>
    <w:p w14:paraId="73CB80B9">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省财政经费概算100万元。</w:t>
      </w:r>
    </w:p>
    <w:p w14:paraId="6F339503">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US" w:eastAsia="zh-CN" w:bidi="ar-SA"/>
        </w:rPr>
        <w:t>本任务拟支持项目数不超过2项，研究同一耐药菌抗原的研究方向不重复支持。</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4DE375B0">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11．治疗慢性肾衰等疾病的创新中药开发</w:t>
      </w:r>
    </w:p>
    <w:p w14:paraId="55671C19">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9"/>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慢性肾衰竭、溃疡性结肠炎、特发性肺纤维化等疾病的临床需求，按照药品注册管理办法的有关规定及技术要求，运用现代药物制剂技术，开展中药活性组分提取及制剂工艺、质量标准研究、药物安全性及有效性评价等临床前研究；或根据国家药品监督管理局许可的创新药物临床试验方案，开展Ⅰ、Ⅱ或Ⅲ期临床试验。</w:t>
      </w:r>
    </w:p>
    <w:p w14:paraId="75D78CEE">
      <w:pPr>
        <w:keepNext w:val="0"/>
        <w:keepLines w:val="0"/>
        <w:pageBreakBefore w:val="0"/>
        <w:widowControl w:val="0"/>
        <w:kinsoku/>
        <w:wordWrap/>
        <w:overflowPunct/>
        <w:topLinePunct w:val="0"/>
        <w:autoSpaceDE/>
        <w:autoSpaceDN/>
        <w:bidi w:val="0"/>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建立创新中药工艺1个；创建产品质量标准1项；若开展</w:t>
      </w:r>
      <w:r>
        <w:rPr>
          <w:rFonts w:hint="default" w:ascii="Times New Roman" w:hAnsi="Times New Roman" w:eastAsia="仿宋_GB2312" w:cs="Times New Roman"/>
          <w:b w:val="0"/>
          <w:bCs w:val="0"/>
          <w:color w:val="auto"/>
          <w:sz w:val="32"/>
          <w:szCs w:val="32"/>
          <w:highlight w:val="none"/>
          <w:lang w:val="en" w:eastAsia="zh-CN"/>
        </w:rPr>
        <w:t>临床前研究</w:t>
      </w:r>
      <w:r>
        <w:rPr>
          <w:rFonts w:hint="default" w:ascii="Times New Roman" w:hAnsi="Times New Roman" w:eastAsia="仿宋_GB2312" w:cs="Times New Roman"/>
          <w:b w:val="0"/>
          <w:bCs w:val="0"/>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lang w:val="en" w:eastAsia="zh-CN"/>
        </w:rPr>
        <w:t>则</w:t>
      </w:r>
      <w:r>
        <w:rPr>
          <w:rFonts w:hint="default" w:ascii="Times New Roman" w:hAnsi="Times New Roman" w:eastAsia="仿宋_GB2312" w:cs="Times New Roman"/>
          <w:b w:val="0"/>
          <w:bCs w:val="0"/>
          <w:color w:val="auto"/>
          <w:sz w:val="32"/>
          <w:szCs w:val="32"/>
          <w:highlight w:val="none"/>
          <w:lang w:val="en-US" w:eastAsia="zh-CN"/>
        </w:rPr>
        <w:t>获得药物的临床试验批件1件并开始Ⅰ期临床试验</w:t>
      </w:r>
      <w:r>
        <w:rPr>
          <w:rFonts w:hint="default" w:ascii="Times New Roman" w:hAnsi="Times New Roman" w:eastAsia="仿宋_GB2312" w:cs="Times New Roman"/>
          <w:b w:val="0"/>
          <w:bCs w:val="0"/>
          <w:color w:val="auto"/>
          <w:sz w:val="32"/>
          <w:szCs w:val="32"/>
          <w:highlight w:val="none"/>
          <w:lang w:val="en" w:eastAsia="zh-CN"/>
        </w:rPr>
        <w:t>，若开展临床试验、则</w:t>
      </w:r>
      <w:r>
        <w:rPr>
          <w:rFonts w:hint="default" w:ascii="Times New Roman" w:hAnsi="Times New Roman" w:eastAsia="仿宋_GB2312" w:cs="Times New Roman"/>
          <w:b w:val="0"/>
          <w:bCs w:val="0"/>
          <w:color w:val="auto"/>
          <w:sz w:val="32"/>
          <w:szCs w:val="32"/>
          <w:highlight w:val="none"/>
          <w:lang w:val="en-US" w:eastAsia="zh-CN"/>
        </w:rPr>
        <w:t>完成中药新药Ⅰ、Ⅱ或Ⅲ期临床试验并获得</w:t>
      </w:r>
      <w:r>
        <w:rPr>
          <w:rFonts w:hint="default" w:ascii="Times New Roman" w:hAnsi="Times New Roman" w:eastAsia="仿宋_GB2312" w:cs="Times New Roman"/>
          <w:b w:val="0"/>
          <w:bCs w:val="0"/>
          <w:color w:val="auto"/>
          <w:sz w:val="32"/>
          <w:szCs w:val="32"/>
          <w:highlight w:val="none"/>
          <w:lang w:val="en" w:eastAsia="zh-CN"/>
        </w:rPr>
        <w:t>该阶段</w:t>
      </w:r>
      <w:r>
        <w:rPr>
          <w:rFonts w:hint="default" w:ascii="Times New Roman" w:hAnsi="Times New Roman" w:eastAsia="仿宋_GB2312" w:cs="Times New Roman"/>
          <w:b w:val="0"/>
          <w:bCs w:val="0"/>
          <w:color w:val="auto"/>
          <w:sz w:val="32"/>
          <w:szCs w:val="32"/>
          <w:highlight w:val="none"/>
          <w:lang w:val="en-US" w:eastAsia="zh-CN"/>
        </w:rPr>
        <w:t>临床试验总结报告；受理发明专利不少于2件，授权发明专利不少于1件。</w:t>
      </w:r>
    </w:p>
    <w:p w14:paraId="7D204960">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省财政经费概算120万元。</w:t>
      </w:r>
    </w:p>
    <w:p w14:paraId="49352D08">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US" w:eastAsia="zh-CN" w:bidi="ar-SA"/>
        </w:rPr>
        <w:t>本任务拟支持项目数不超过3项，同一病种的研究方向不重复支持。</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申报。</w:t>
      </w:r>
    </w:p>
    <w:p w14:paraId="182F51EE">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12．已上市中成药关键技术创新及评价</w:t>
      </w:r>
    </w:p>
    <w:p w14:paraId="38FEDDE7">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9"/>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结合中药制药工艺、PAT过程控制、智能制造等先进技术，选择江西省已上市中成药，开展道地中药材质量控制、关键工艺创新优化、质量标准提升以及上市后再评价研究，重点突破符合中药特点的关键质控属性和量值传递规律。</w:t>
      </w:r>
    </w:p>
    <w:p w14:paraId="2E2B65F5">
      <w:pPr>
        <w:keepNext w:val="0"/>
        <w:keepLines w:val="0"/>
        <w:pageBreakBefore w:val="0"/>
        <w:widowControl w:val="0"/>
        <w:kinsoku/>
        <w:wordWrap/>
        <w:overflowPunct/>
        <w:topLinePunct w:val="0"/>
        <w:autoSpaceDE/>
        <w:autoSpaceDN/>
        <w:bidi w:val="0"/>
        <w:adjustRightInd w:val="0"/>
        <w:snapToGrid w:val="0"/>
        <w:spacing w:afterLines="0" w:line="600" w:lineRule="exact"/>
        <w:ind w:firstLine="643" w:firstLineChars="200"/>
        <w:jc w:val="both"/>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建立药品关键质控属性和量值传递规律，完成制备工艺优化研究并获得药品监督管理机构批准；制定内控质量标准技术要求不少于2项；获得授权发明专利1件以上。</w:t>
      </w:r>
    </w:p>
    <w:p w14:paraId="1D94021C">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0A90B4C5">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申报。</w:t>
      </w:r>
    </w:p>
    <w:p w14:paraId="66B54A09">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13．同名同方中药的开发</w:t>
      </w:r>
    </w:p>
    <w:p w14:paraId="27E22285">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9"/>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选取已上市中药制剂，筛选中药材、优化并确定中药饮片炮制工艺、优化同名同方中药制剂制备工艺、建立质控标准、研究稳定性等，整理研究资料并向CDE提交申报资料。</w:t>
      </w:r>
    </w:p>
    <w:p w14:paraId="4264BF46">
      <w:pPr>
        <w:keepNext w:val="0"/>
        <w:keepLines w:val="0"/>
        <w:pageBreakBefore w:val="0"/>
        <w:widowControl w:val="0"/>
        <w:kinsoku/>
        <w:wordWrap/>
        <w:overflowPunct/>
        <w:topLinePunct w:val="0"/>
        <w:autoSpaceDE/>
        <w:autoSpaceDN/>
        <w:bidi w:val="0"/>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形成中药材、处方与剂量、生产工艺、质量对比、稳定性等研究资料，在有效性、安全性、质量可控性方面不低于已上市中药的制剂关键技术，建立质量标准，整理研究资料，报国家药监局批准，取得受理号。</w:t>
      </w:r>
    </w:p>
    <w:p w14:paraId="248C0B06">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110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3629987D">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申报。</w:t>
      </w:r>
    </w:p>
    <w:p w14:paraId="1805142F">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14．强侵袭性肿瘤标志物检测技术研究及试剂的开发</w:t>
      </w:r>
    </w:p>
    <w:p w14:paraId="0A38DB23">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9"/>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围绕肝胆胰癌等强侵袭性肿瘤的早期筛查需求，通过对相关生物标志物的高效筛选，研究针对肝胆胰癌等疾病标志物的液体活检技术，开发标准化液体活检试剂盒并建立相关技术体系标准。</w:t>
      </w:r>
    </w:p>
    <w:p w14:paraId="7B58FBB2">
      <w:pPr>
        <w:keepNext w:val="0"/>
        <w:keepLines w:val="0"/>
        <w:pageBreakBefore w:val="0"/>
        <w:widowControl w:val="0"/>
        <w:kinsoku/>
        <w:wordWrap/>
        <w:overflowPunct/>
        <w:topLinePunct w:val="0"/>
        <w:autoSpaceDE/>
        <w:autoSpaceDN/>
        <w:bidi w:val="0"/>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筛选出不少于5种肿瘤特异性分子标志物，开发出不少于1种基于液体活检的早筛试剂盒，并制定相关技术标准；完成1000例以上多中心队列验证，并在5家以上医疗机构开展技术试点；申请相关发明专利不少于3件，授权相关发明专利不少于1件；获得医疗器械注册证不少于1件。</w:t>
      </w:r>
    </w:p>
    <w:p w14:paraId="503B72C4">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064A9D08">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4834A390">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15．维生素及其中间体生物制造关键技术研发与生产示范</w:t>
      </w:r>
    </w:p>
    <w:p w14:paraId="6D0064EF">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9"/>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围绕维生素及其中间体高效合成，开展高性能微生物菌株的定向设计与构建、规模化生产工艺优化与精准控制、生物制造过程放大技术与稳定性提升等研究，建立维生素绿色生物制造生产示范线。</w:t>
      </w:r>
    </w:p>
    <w:p w14:paraId="549B4FD5">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完成维生素及其中间体的生物合成途径构建与微生物育种研究，获得高性能微生物底盘，产量或底物转化率较现有菌种提升10%以上；建立吨级高密度、精准发酵体系，形成发酵分离纯化工艺路线，产品分离收率＞70%；开发具有自主知识产权的生物制造工艺，申请发明专利不少于3件，建立维生素生物制造生产示范线不少于1条。</w:t>
      </w:r>
    </w:p>
    <w:p w14:paraId="48672B56">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省财政经费概算120万元。</w:t>
      </w:r>
    </w:p>
    <w:p w14:paraId="0CDAEF81">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US" w:eastAsia="zh-CN" w:bidi="ar-SA"/>
        </w:rPr>
        <w:t>本任务拟支持项目数不超过2项，同一产品不重复支持。</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申报。</w:t>
      </w:r>
    </w:p>
    <w:p w14:paraId="0D953DCD">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16．治疗乳腺癌、前列腺癌、肺癌等创新药的临床研究</w:t>
      </w:r>
    </w:p>
    <w:p w14:paraId="2525D7C1">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9"/>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围绕乳腺癌、前列腺癌、肺癌、心脑血管等重大性疾病或罕见病，开发创新药物（药品注册分类1类），并获得药物临床试验批准通知书，开展Ⅰ、Ⅱ或Ⅲ期临床试验，进一步证实或揭示药物的作用、不良反应及/或药代情况等，以确定药物疗效与安全性。</w:t>
      </w:r>
    </w:p>
    <w:p w14:paraId="003D2FF8">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9"/>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根据国家药品监督管理局许可的创新药物临床试验方案，完成创新药物（药品注册分类1类）Ⅰ、Ⅱ或Ⅲ期临床试验并取得该阶段临床试验总结报告。受理发明专利不少于2件，授权发明专利不少于1件。</w:t>
      </w:r>
    </w:p>
    <w:p w14:paraId="375B2234">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省财政经费概算120万元。</w:t>
      </w:r>
    </w:p>
    <w:p w14:paraId="3420A195">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US" w:eastAsia="zh-CN" w:bidi="ar-SA"/>
        </w:rPr>
        <w:t>本任务拟支持项目数不超过3项，同一病种同一临床研究阶段不重复支持。</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申报。</w:t>
      </w:r>
    </w:p>
    <w:p w14:paraId="47187F5C">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17．原料药或药物中间体绿色制造技术研究</w:t>
      </w:r>
    </w:p>
    <w:p w14:paraId="131DDD94">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9"/>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原料药或药物中间体生产过程中存在的高污染、高能耗及“三废”排放等绿色发展瓶颈问题，发展新型化学、生物催化、连续流等高效绿色合成技术，构建绿色、安全、可持续的制造工艺体系，实现原料药及药物中间体制造过程中的清洁化、低碳化与产业化升级，支撑医药产业高质量发展。</w:t>
      </w:r>
    </w:p>
    <w:p w14:paraId="58A90B55">
      <w:pPr>
        <w:keepNext w:val="0"/>
        <w:keepLines w:val="0"/>
        <w:pageBreakBefore w:val="0"/>
        <w:widowControl w:val="0"/>
        <w:kinsoku/>
        <w:wordWrap/>
        <w:overflowPunct/>
        <w:topLinePunct w:val="0"/>
        <w:autoSpaceDE/>
        <w:autoSpaceDN/>
        <w:bidi w:val="0"/>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完成具有重要应用价值的原料药或药物中间体3-5种新的高效绿色合成技术，实现全生命周期（LCA)的绿色评价。实现不少于1种产品的新工艺技术研究，形成绿色中试工艺路线，新路线的全生命周期评价指标比现有工艺提升20%。申请原料药注册登记备案不少于1项，受理发明专利不少于2件，授权发明专利不少于1件。</w:t>
      </w:r>
    </w:p>
    <w:p w14:paraId="29485537">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省财政经费概算100万元。</w:t>
      </w:r>
    </w:p>
    <w:p w14:paraId="4C391D8F">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US" w:eastAsia="zh-CN" w:bidi="ar-SA"/>
        </w:rPr>
        <w:t>本任务拟支持项目数不超过2项，同一产品不重复支持。</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申报。</w:t>
      </w:r>
    </w:p>
    <w:p w14:paraId="3FCAA814">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18．治疗中枢神经系统疾病高质量仿制药关键技术研究</w:t>
      </w:r>
    </w:p>
    <w:p w14:paraId="48315E72">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9"/>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围绕中枢神经系统疾病临床治疗需求，开展高质量仿制药关键技术研究，确定药品生产工艺的关键技术与质量参数和控制点，建立药品质量标准，完成药品质量与疗效一致性评价等，最终实现仿制药产业化上市。</w:t>
      </w:r>
    </w:p>
    <w:p w14:paraId="0A9ED19A">
      <w:pPr>
        <w:keepNext w:val="0"/>
        <w:keepLines w:val="0"/>
        <w:pageBreakBefore w:val="0"/>
        <w:widowControl w:val="0"/>
        <w:kinsoku/>
        <w:wordWrap/>
        <w:overflowPunct/>
        <w:topLinePunct w:val="0"/>
        <w:autoSpaceDE/>
        <w:autoSpaceDN/>
        <w:bidi w:val="0"/>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获得国家药品监督管理局批准的药品制备生产工艺和药品质量标准等。获得药品注册批件。申请受理相关专利不少于2件，授权相关发明专利不少于1件。</w:t>
      </w:r>
    </w:p>
    <w:p w14:paraId="60FF9070">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省财政经费概算100万元。</w:t>
      </w:r>
    </w:p>
    <w:p w14:paraId="1BEFE612">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申报。</w:t>
      </w:r>
    </w:p>
    <w:p w14:paraId="7940D6F2">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19．治疗II型糖尿病等疾病的医疗机构中药制剂开发</w:t>
      </w:r>
    </w:p>
    <w:p w14:paraId="412869F4">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9"/>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II型糖尿病、癌症患者术后白细胞减少症等疾病的临床需求，优选疗效确切的中药复方配伍处方，开展剂型选择、处方工艺、质量标准、安全性和有效性评价等研究，按照药品注册管理办法的有关规定及技术要求，完成医疗机构制剂研究申报资料，获得具有临床优势的医疗机构中药制剂。</w:t>
      </w:r>
    </w:p>
    <w:p w14:paraId="2A53C2B2">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9"/>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确定医疗机构中药制剂处方1个以上，建立制剂工艺、质量标准等，获得省药品监督管理局批准的医疗机构中药制剂1个以上。申请发明专利1件以上。</w:t>
      </w:r>
    </w:p>
    <w:p w14:paraId="0E597E09">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省财政经费概算80万元。</w:t>
      </w:r>
    </w:p>
    <w:p w14:paraId="25311604">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US" w:eastAsia="zh-CN" w:bidi="ar-SA"/>
        </w:rPr>
        <w:t>本任务拟支持项目数不超过2项，同一病种研究方向不重复支持。</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申报。</w:t>
      </w:r>
    </w:p>
    <w:p w14:paraId="0345E03F">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20．人源类器官疾病模型的建立及其在中药筛选与评价方面的应用（青年科学家项目）</w:t>
      </w:r>
    </w:p>
    <w:p w14:paraId="668B2A2C">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9"/>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围绕代谢性、感染性等常见多发疾病，以人类肝脏等重要脏器为重点，研究并建立相应的人源类器官疾病模型。利用人源类器官疾病模型建立中药活性物质高通量筛选系统，并进一步揭示其作用机制；建立中药毒性成分评价系统，并进一步揭示其毒理机制。</w:t>
      </w:r>
    </w:p>
    <w:p w14:paraId="4955A346">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构建2种以上由不同细胞来源的人源类器官新型培养体系；围绕代谢性疾病、感染性疾病等建立2-3种人源类器官疾病模型；建立1-2个基于类器官的中药筛选与评价体系，筛选获得3个以上具有临床治疗前景的中药活性成分并阐明其作用机制和潜在毒性；申请发明专利不少于3件，授权发明专利不少于1件。</w:t>
      </w:r>
    </w:p>
    <w:p w14:paraId="30FC62C5">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省财政经费概算80万元。</w:t>
      </w:r>
    </w:p>
    <w:p w14:paraId="2D4B343F">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0"/>
        <w:rPr>
          <w:rFonts w:hint="default" w:ascii="Times New Roman" w:hAnsi="Times New Roman" w:eastAsia="楷体_GB2312" w:cs="Times New Roman"/>
          <w:b/>
          <w:bCs/>
          <w:color w:val="auto"/>
          <w:sz w:val="32"/>
          <w:szCs w:val="32"/>
          <w:highlight w:val="none"/>
          <w:lang w:eastAsia="zh-CN"/>
        </w:rPr>
      </w:pPr>
      <w:r>
        <w:rPr>
          <w:rFonts w:hint="default" w:ascii="Times New Roman" w:hAnsi="Times New Roman" w:eastAsia="楷体_GB2312" w:cs="Times New Roman"/>
          <w:b/>
          <w:bCs/>
          <w:color w:val="auto"/>
          <w:sz w:val="32"/>
          <w:szCs w:val="32"/>
          <w:highlight w:val="none"/>
          <w:lang w:eastAsia="zh-CN"/>
        </w:rPr>
        <w:t>（三）</w:t>
      </w:r>
      <w:r>
        <w:rPr>
          <w:rFonts w:hint="default" w:ascii="Times New Roman" w:hAnsi="Times New Roman" w:eastAsia="楷体_GB2312" w:cs="Times New Roman"/>
          <w:b/>
          <w:bCs/>
          <w:color w:val="auto"/>
          <w:sz w:val="32"/>
          <w:szCs w:val="32"/>
          <w:highlight w:val="none"/>
          <w:lang w:val="en-US" w:eastAsia="zh-CN"/>
        </w:rPr>
        <w:t>卫生健康</w:t>
      </w:r>
    </w:p>
    <w:p w14:paraId="6782DBEF">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21．遗传性心血管疾病精准诊疗研究</w:t>
      </w:r>
    </w:p>
    <w:p w14:paraId="4175623A">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9"/>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遗传性心血管疾病呈现的高度异质性、临床表型多样性、诊断困难及治疗手段有限等关键挑战，聚焦1-2种临床意义显著的遗传性心血管疾病（如遗传性心肌病、心律失常综合征），以全基因组测序为核心，整合转录组、蛋白质组、代谢组等多组学数据，结合人工智能深度学习算法，构建综合性疾病数据库。基于多模态数据，开发早期筛查、精准诊断及风险分层评估系统，旨在提升致病性变异识别能力，并对临床意义未明变异（VUS）进行功能注释。同时，建立携带特定致病突变的人源工程化心脏组织模型，模拟疾病病理生理特征，为机制研究提供体外平台。依托该模型，搭建高通量药物筛选体系，评估候选药物的疗效与安全性，加速精准诊疗策略研发及临床转化。</w:t>
      </w:r>
    </w:p>
    <w:p w14:paraId="01E272B6">
      <w:pPr>
        <w:keepNext w:val="0"/>
        <w:keepLines w:val="0"/>
        <w:pageBreakBefore w:val="0"/>
        <w:widowControl w:val="0"/>
        <w:kinsoku/>
        <w:wordWrap/>
        <w:overflowPunct/>
        <w:topLinePunct w:val="0"/>
        <w:autoSpaceDE/>
        <w:autoSpaceDN/>
        <w:bidi w:val="0"/>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建立多中心协作网络，纳入不少于1000例涵盖1-2种重要遗传性心血管疾病的前瞻性研究队列，构建标准化的临床表型数据库和多组学数据库；完成不少于50个临床意义未明变异（VUS）的功能验证和致病性评估，建立变异-表型关联数据库；开发1个基于深度学习的综合性致病性预测模型，整合基因组变异信息与多组学数据，实现VUS致病性的精准预测。成功构建≥2个携带不同致病性变异的人源工程化心脏组织模型，准确模拟相应遗传性心血管疾病的病理特征。基于类器官药物筛选平台，鉴定1-2个具有明确治疗潜力的候选药物分子，完成初步的药效学和安全性评价，申请国家发明专利2-3项，推动研究成果的临床转化。</w:t>
      </w:r>
    </w:p>
    <w:p w14:paraId="63A38E91">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省财政经费概算120万元。</w:t>
      </w:r>
    </w:p>
    <w:p w14:paraId="4B2DA420">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22．靶向CD7 CAR-T细胞治疗血液系统肿瘤关键技术研究（青年科学家项目）</w:t>
      </w:r>
    </w:p>
    <w:p w14:paraId="09B52C67">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9"/>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针对CAR-T细胞治疗CD7阳性血液系统肿瘤复发率高的难题，研发通用型及体内诱导靶向CD7 CAR-T技术；运用多组学研究治疗过程中体内CAR-T细胞及其他免疫细胞的动态变化、相互作用和相应调控机制；创建靶向CD7 CAR-T细胞治疗联合靶向药物、新型免疫调节剂或异基因造血干细胞移植等临床应用的优化方案；证明以多组学分析为基础的预测、诊断、预后评估体系和管理策略的优势，实现从缓解到治愈的突破。</w:t>
      </w:r>
    </w:p>
    <w:p w14:paraId="47EE9FC2">
      <w:pPr>
        <w:keepNext w:val="0"/>
        <w:keepLines w:val="0"/>
        <w:pageBreakBefore w:val="0"/>
        <w:widowControl w:val="0"/>
        <w:kinsoku/>
        <w:wordWrap/>
        <w:overflowPunct/>
        <w:topLinePunct w:val="0"/>
        <w:autoSpaceDE/>
        <w:autoSpaceDN/>
        <w:bidi w:val="0"/>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建立2-3种通用型及体内诱导靶向CD7 CAR-T细胞治疗血液系统肿瘤的技术；开发干预和联合治疗方法2-3种，并完成临床前研究；完成1项提升靶向CD7 CAR-T细胞治疗疗效的临床研究；建立并验证1套预后预测的评估体系和管理体系，在省内不少于5家医疗机构开展示范。</w:t>
      </w:r>
    </w:p>
    <w:p w14:paraId="77D7F613">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省财政经费概算120万元。</w:t>
      </w:r>
    </w:p>
    <w:p w14:paraId="3EBDEB54">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23．灸法干预偏颇体质相关超重/肥胖个体化诊疗研究（青年科学家项目）</w:t>
      </w:r>
    </w:p>
    <w:p w14:paraId="34C0672C">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9"/>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灸法干预偏颇体质相关超重/肥胖人群，以体重、体脂率、BMI指数等为结局指标开展大样本、多中心随机对照试验，明确超重/肥胖人群中医体质分类及证候演变规律，评价灸法干预方案治疗超重/肥胖人群的有效性、安全性与长期疗效；结合现代分子生物检测技术探讨灸法对超重/肥胖人群脂质代谢、能量代谢及体质转化的调节作用；运用系统生物学等研究方法构建具有中医特色的超重/肥胖疾病风险与干预预测模型。</w:t>
      </w:r>
    </w:p>
    <w:p w14:paraId="4507FBE9">
      <w:pPr>
        <w:keepNext w:val="0"/>
        <w:keepLines w:val="0"/>
        <w:pageBreakBefore w:val="0"/>
        <w:widowControl w:val="0"/>
        <w:kinsoku/>
        <w:wordWrap/>
        <w:overflowPunct/>
        <w:topLinePunct w:val="0"/>
        <w:autoSpaceDE/>
        <w:autoSpaceDN/>
        <w:bidi w:val="0"/>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建立不少于1000例的多中心、临床随机对照研究病例库，构建具有中医特色的超重/肥胖疾病风险预测模型；阐明灸法对超重/肥胖人群脂质代谢、能量代谢及体质转化的调节作用，建立超重/肥胖灸法干预预测模型；制定灸法干预偏颇体质相关超重/肥胖人群的操作标准与规范1项，并在不少于10家医疗机构进行技术指导及推广；发表高水平论文2-3篇。</w:t>
      </w:r>
    </w:p>
    <w:p w14:paraId="3F371B54">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省财政经费概算80万元。</w:t>
      </w:r>
    </w:p>
    <w:p w14:paraId="532DABB1">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24．粪菌移植联合疗法治疗晚期结直肠癌的临床研究</w:t>
      </w:r>
    </w:p>
    <w:p w14:paraId="2F217986">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9"/>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粪菌移植联合放疗及免疫治疗可提高晚期结直肠癌疗效，改善患者预后。要求构建标准化粪菌库；阐明放疗剂量与菌群调节的动态平衡关系；验证免疫治疗响应与肠道菌群和特定菌株的因果关联；建立"菌群移植-放疗-免疫"三阶段治疗时间窗模型；开发基于微生物、代谢组、放射组学多维度的联合治疗预测体系。</w:t>
      </w:r>
    </w:p>
    <w:p w14:paraId="10BA0F7A">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构建行业认可的标准菌群库1个；综合治疗效果得到体外和体内验证（有效病例数≥100例）；筛选出特定的有效菌株（≥2株）；发表高质量论文3篇以上，申请专利2-3项。</w:t>
      </w:r>
    </w:p>
    <w:p w14:paraId="234221A3">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省财政经费概算100万元。</w:t>
      </w:r>
    </w:p>
    <w:p w14:paraId="3803E556">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25．重症肺炎精准诊疗关键技术研发与转化应用（青年科学家项目）</w:t>
      </w:r>
    </w:p>
    <w:p w14:paraId="3E28CDE2">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9"/>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分析重症肺炎早期预警关键生物标志物，研究病原体及宿主互相作用机制；研究重症肺炎定量诊断及分型的关键技术方法，开展重症肺炎早期预警转型的技术研究；利用多组学数据和临床样本，开发并优化基于重症肺炎病原监测溯源的靶向测序技术；开发高灵敏度检测系统，并推动检测系统的落地转化与推广应用。构建早期预警、精准诊断和分型技术的科学评价指标体系，并在大规模人群中开展高水平的前瞻性研究，验证新型检测技术的有效性。</w:t>
      </w:r>
    </w:p>
    <w:p w14:paraId="78C0F131">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建立重症肺炎多中心临床及生物信息数据资源库，覆盖2000例患者；筛选出不少于2种生物标志物，实现重症肺炎分子分型诊断和疾病进展预测；研发新型特异性的重症肺炎早期预警关键技术不少于1项，应用于多靶标检测体系开发；制定行业标准或指南至少1项，申请/授权相关发明专利至少2项。发表高质量论文2-4篇，研发关键技术及检测平台应在不少于10家医疗机构推广应用。</w:t>
      </w:r>
    </w:p>
    <w:p w14:paraId="08D7F9DC">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省财政经费概算80万元。</w:t>
      </w:r>
    </w:p>
    <w:p w14:paraId="4E0341FD">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26．基于人工智能的神经外科微创手术关键技术研发与应用</w:t>
      </w:r>
    </w:p>
    <w:p w14:paraId="20885298">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jc w:val="both"/>
        <w:textAlignment w:val="auto"/>
        <w:outlineLvl w:val="9"/>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bCs/>
          <w:color w:val="auto"/>
          <w:kern w:val="2"/>
          <w:sz w:val="32"/>
          <w:szCs w:val="32"/>
          <w:highlight w:val="none"/>
          <w:lang w:val="en-US" w:eastAsia="zh-CN" w:bidi="ar-SA"/>
        </w:rPr>
        <w:t>研究内容：</w:t>
      </w:r>
      <w:r>
        <w:rPr>
          <w:rFonts w:hint="default" w:ascii="Times New Roman" w:hAnsi="Times New Roman" w:eastAsia="仿宋_GB2312" w:cs="Times New Roman"/>
          <w:b w:val="0"/>
          <w:bCs w:val="0"/>
          <w:color w:val="auto"/>
          <w:kern w:val="2"/>
          <w:sz w:val="32"/>
          <w:szCs w:val="32"/>
          <w:highlight w:val="none"/>
          <w:lang w:val="en-US" w:eastAsia="zh-CN" w:bidi="ar-SA"/>
        </w:rPr>
        <w:t>建立基于人工智能深度学习的术中影像实时配准、实现微创手术可视化的一体化手术关键技术体系。开发多模态数据接口，支持CT/MRI/DTI影像与荧光显影同步可视化。针对常见的1-2种脑肿瘤，筛选针对靶向肿瘤的ICG纳米探针，提升肿瘤边界识别特异性；建立荧光显影量化评估模型，提升微创手术中的神经及血管辨识度。建立关键技术示范应用基地，制订规范化治疗流程，进行关键技术培训与推广。</w:t>
      </w:r>
    </w:p>
    <w:p w14:paraId="01CE3B07">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建立标准化、规范化、具有自主知识产权的一体化神经外科微创手术关键技术体系；筛选出1-2种靶向ICG纳米探针；开发微创手术术中多模态融合可视化系统1套；制定江西省相关微创手术技术规范1项，申请发明专利至少1项，发表高水平研究论文2-3篇；成果及规范在至少10家医疗机构推广应用。</w:t>
      </w:r>
    </w:p>
    <w:p w14:paraId="6577CCD6">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省财政经费概算120万元。</w:t>
      </w:r>
    </w:p>
    <w:p w14:paraId="7C85FEBF">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27．针灸防治阿尔兹海默病（AD）共病的关键技术体系构建及临床应用</w:t>
      </w:r>
    </w:p>
    <w:p w14:paraId="2D786119">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9"/>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阿尔兹海默病（AD）共病缺乏有效干预的难点问题，整合人口学、临床表型、多组学、影像学等多维度信息，建立长期稳定的AD共病（焦虑、抑郁、睡眠障碍等）队列。阐明AD共病的流行病学和表型特征、中医体质演变规律，形成AD共病数据库，探讨AD共病与个体衰老及代谢紊乱的内在关系，建立AD共病的早期预警体系和疾病进展预测模型；开展多中心、前瞻性针灸干预临床研究，研发针灸防治AD共病关键技术，筛选特异性穴位，建立针灸临床精准干预策略，开展针灸干预作用机制研究。</w:t>
      </w:r>
    </w:p>
    <w:p w14:paraId="7FC2DF3D">
      <w:pPr>
        <w:keepNext w:val="0"/>
        <w:keepLines w:val="0"/>
        <w:pageBreakBefore w:val="0"/>
        <w:widowControl w:val="0"/>
        <w:kinsoku/>
        <w:wordWrap/>
        <w:overflowPunct/>
        <w:topLinePunct w:val="0"/>
        <w:autoSpaceDE/>
        <w:autoSpaceDN/>
        <w:bidi w:val="0"/>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建立不少于300例的临床随机对照研究病例库，构建具有中医特色的AD共病早期预警体系和疾病进展预测模型，形成AD共病数据库1个；明确AD共病与个体衰老及代谢紊乱的内在关系，形成针灸防治AD共病的关键技术1套，建立操作标准与规范1项，并在不少于10家医疗机构进行技术推广应用；发表高水平论文2-3篇。</w:t>
      </w:r>
    </w:p>
    <w:p w14:paraId="07D6700C">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省财政经费概算100万元。</w:t>
      </w:r>
    </w:p>
    <w:p w14:paraId="4158B5CF">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28．江西省名老中医经验智慧诊疗辅助系统研发与应用</w:t>
      </w:r>
    </w:p>
    <w:p w14:paraId="44E2AF62">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9"/>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江西省名老中医经验数据标准化采集与结构化处理，构建江西名老中医医案的标准化数据库；开发江西省名老中医辨证知识图谱构建与推理模型，实现证候动态关联与智能处方推荐；研制基层适配型临床辅助决策系统，提供名老中医典型医案学习库及跟师模拟功能，提升基层对名老中医经验的传承与推广应用能力。</w:t>
      </w:r>
    </w:p>
    <w:p w14:paraId="34CCADE7">
      <w:pPr>
        <w:keepNext w:val="0"/>
        <w:keepLines w:val="0"/>
        <w:pageBreakBefore w:val="0"/>
        <w:widowControl w:val="0"/>
        <w:kinsoku/>
        <w:wordWrap/>
        <w:overflowPunct/>
        <w:topLinePunct w:val="0"/>
        <w:autoSpaceDE/>
        <w:autoSpaceDN/>
        <w:bidi w:val="0"/>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建立不少于100位名老中医、不少于100个常见病种、病例数不少于10000例的江西省名老中医医案数据库1个，实现名老中医经验数据化；构建江西省名老中医辨证知识图谱构建与推理模型1个，实现名老中医经验智能化；研制基层适配型临床辅助决策系统1项，并在不少于10家基层医疗机构进行技术指导及推广；开发智慧诊疗辅助系统1套，获批软件著作权1项；发表高水平论文2-3篇。</w:t>
      </w:r>
    </w:p>
    <w:p w14:paraId="3E35C521">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省财政经费概算100万元。</w:t>
      </w:r>
    </w:p>
    <w:p w14:paraId="60B5230F">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29．可视化针刀治疗颈椎病的临床疗效评价和关键机制研究</w:t>
      </w:r>
    </w:p>
    <w:p w14:paraId="5E6C39FC">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9"/>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开展可视化针刀（超声引导下针刀微创技术）治疗颈椎病的临床随机对照研究和动物实验研究，运用现代分子生物学、生物信息学、机器学习等方法，观察可视化针刀治疗颈椎病的临床疗效，探讨诊疗规律和相关作用机制，诠释可视化针刀技术治疗颈椎病的现代理论，为可视化针刀治疗颈椎病的推广应用提供临床循证证据及机制认识。</w:t>
      </w:r>
    </w:p>
    <w:p w14:paraId="0C7775FF">
      <w:pPr>
        <w:keepNext w:val="0"/>
        <w:keepLines w:val="0"/>
        <w:pageBreakBefore w:val="0"/>
        <w:widowControl w:val="0"/>
        <w:kinsoku/>
        <w:wordWrap/>
        <w:overflowPunct/>
        <w:topLinePunct w:val="0"/>
        <w:autoSpaceDE/>
        <w:autoSpaceDN/>
        <w:bidi w:val="0"/>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建立不少于300例的临床随机对照研究病例库，构建颈椎病专病数据库1个，探讨可视化针刀治疗颈椎病的关键科学机制；制定可视化针刀治疗颈椎病操作标准与规范指南1项，并在不少于10家医疗机构进行技术指导及推广；发表高水平论文2-3篇。</w:t>
      </w:r>
    </w:p>
    <w:p w14:paraId="14F14E6B">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省财政经费概算100万元。</w:t>
      </w:r>
    </w:p>
    <w:p w14:paraId="14FFC4FB">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30．基于舌拭子的传染病原微生物分子生物学新型快速诊断（青年科学家项目）</w:t>
      </w:r>
    </w:p>
    <w:p w14:paraId="543D6534">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9"/>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我省高发传染病（病毒性肝炎，肺结核，手足口病和流感），开展基于舌拭子样本的新型荧光定量PCR诊断技术研发与应用验证。建立标准化舌拭子样本采集方案、核酸提取定量及荧光定量PCR检测全流程技术体系，开发测试结果批量分析的自动化分析软件，优化检测灵敏度、准确性、特异性和便捷性；针对儿童、老年人群、糖尿病患者及HIV/AIDS患者等重点人群，开展多中心临床验证，系统评估舌拭子检测与痰培养/分子检测的临床相符度；比较所研发的技术与已有的舌拭子检测技术在检测准确性、方便性和经济性上的优劣；构建结核病筛查经济学评价模型，分析舌拭子技术在不同应用场景下的成本效果、成本效益及成本效率；探索非侵入性舌拭子技术在基层医疗机构的适用性，制定操作规范及质控标准</w:t>
      </w:r>
    </w:p>
    <w:p w14:paraId="42F3E5AF">
      <w:pPr>
        <w:keepNext w:val="0"/>
        <w:keepLines w:val="0"/>
        <w:pageBreakBefore w:val="0"/>
        <w:widowControl w:val="0"/>
        <w:kinsoku/>
        <w:wordWrap/>
        <w:overflowPunct/>
        <w:topLinePunct w:val="0"/>
        <w:autoSpaceDE/>
        <w:autoSpaceDN/>
        <w:bidi w:val="0"/>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选择2-3种（病毒性肝炎，肺结核，手足口病和流感）传染病，开发新型舌拭子荧光定量PCR检测试剂盒2-3套，数据分析软件一套，使检测灵敏度≥90%、准确性≥90%和特异性≥95%；制定采样材料、采样方式和采样流程的标准；完成2000例以上临床样本双盲检测，与金标准相比总符合率≥85%，重点人群亚组分析覆盖率达100%；在3家市级疾控中心和10家县级医院建立示范检测点，培训技术人员不少于100人次；在检测方法上获得创新性研究成果，并获得基于舌拭子快速检测技术相关的国家发明专利2项（专利可滞后考核）。</w:t>
      </w:r>
    </w:p>
    <w:p w14:paraId="1C85022D">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省财政经费概算80万元。</w:t>
      </w:r>
    </w:p>
    <w:p w14:paraId="227C3A04">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0"/>
        <w:rPr>
          <w:rFonts w:hint="default" w:ascii="Times New Roman" w:hAnsi="Times New Roman" w:eastAsia="楷体_GB2312" w:cs="Times New Roman"/>
          <w:b/>
          <w:bCs/>
          <w:color w:val="auto"/>
          <w:sz w:val="32"/>
          <w:szCs w:val="32"/>
          <w:highlight w:val="none"/>
          <w:lang w:eastAsia="zh-CN"/>
        </w:rPr>
      </w:pPr>
      <w:r>
        <w:rPr>
          <w:rFonts w:hint="default" w:ascii="Times New Roman" w:hAnsi="Times New Roman" w:eastAsia="楷体_GB2312" w:cs="Times New Roman"/>
          <w:b/>
          <w:bCs/>
          <w:color w:val="auto"/>
          <w:sz w:val="32"/>
          <w:szCs w:val="32"/>
          <w:highlight w:val="none"/>
          <w:lang w:eastAsia="zh-CN"/>
        </w:rPr>
        <w:t>（四）</w:t>
      </w:r>
      <w:r>
        <w:rPr>
          <w:rFonts w:hint="default" w:ascii="Times New Roman" w:hAnsi="Times New Roman" w:eastAsia="楷体_GB2312" w:cs="Times New Roman"/>
          <w:b/>
          <w:bCs/>
          <w:color w:val="auto"/>
          <w:sz w:val="32"/>
          <w:szCs w:val="32"/>
          <w:highlight w:val="none"/>
          <w:lang w:val="en-US" w:eastAsia="zh-CN"/>
        </w:rPr>
        <w:t>公共安全与防灾减灾</w:t>
      </w:r>
    </w:p>
    <w:p w14:paraId="40CAEAF8">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31．多模态协同的烟花爆竹生产安全监测预警关键技术研究和应用（青年科学家项目）</w:t>
      </w:r>
    </w:p>
    <w:p w14:paraId="5ACCE3A5">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jc w:val="both"/>
        <w:textAlignment w:val="auto"/>
        <w:outlineLvl w:val="9"/>
        <w:rPr>
          <w:rFonts w:hint="default" w:ascii="Times New Roman" w:hAnsi="Times New Roman" w:eastAsia="仿宋_GB2312" w:cs="Times New Roman"/>
          <w:b/>
          <w:bCs/>
          <w:color w:val="auto"/>
          <w:kern w:val="2"/>
          <w:sz w:val="32"/>
          <w:szCs w:val="32"/>
          <w:highlight w:val="none"/>
          <w:lang w:val="en-US" w:eastAsia="zh-CN" w:bidi="ar-SA"/>
        </w:rPr>
      </w:pPr>
      <w:r>
        <w:rPr>
          <w:rFonts w:hint="default" w:ascii="Times New Roman" w:hAnsi="Times New Roman" w:eastAsia="仿宋_GB2312" w:cs="Times New Roman"/>
          <w:b/>
          <w:bCs/>
          <w:color w:val="auto"/>
          <w:kern w:val="2"/>
          <w:sz w:val="32"/>
          <w:szCs w:val="32"/>
          <w:highlight w:val="none"/>
          <w:lang w:val="en-US" w:eastAsia="zh-CN" w:bidi="ar-SA"/>
        </w:rPr>
        <w:t>研究内容：</w:t>
      </w:r>
      <w:r>
        <w:rPr>
          <w:rFonts w:hint="default" w:ascii="Times New Roman" w:hAnsi="Times New Roman" w:eastAsia="仿宋_GB2312" w:cs="Times New Roman"/>
          <w:b w:val="0"/>
          <w:bCs w:val="0"/>
          <w:color w:val="auto"/>
          <w:kern w:val="2"/>
          <w:sz w:val="32"/>
          <w:szCs w:val="32"/>
          <w:highlight w:val="none"/>
          <w:lang w:val="en-US" w:eastAsia="zh-CN" w:bidi="ar-SA"/>
        </w:rPr>
        <w:t>针对烟花爆竹企业安全监测的超员、入侵监测误报率高、静电释放监测精准性差、药量监测效率低、数据查看和视频调阅操作繁琐、风险预警模型动态指标少等问题，应用视觉、语音等多模态技术，提升夜间、雨雾等复杂环境下的超员与入侵的识别精度，实现对人员静电释放的起始时间、超时时长、次数等参数的精准监测；构建药桶分割模型，融合特征标定数据库，实现药量、堆放高度等参数非接触式监测，进行风险分级精准预警。</w:t>
      </w:r>
    </w:p>
    <w:p w14:paraId="1DEE6010">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jc w:val="both"/>
        <w:textAlignment w:val="auto"/>
        <w:outlineLvl w:val="9"/>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bCs/>
          <w:color w:val="auto"/>
          <w:kern w:val="2"/>
          <w:sz w:val="32"/>
          <w:szCs w:val="32"/>
          <w:highlight w:val="none"/>
          <w:lang w:val="en-US" w:eastAsia="zh-CN" w:bidi="ar-SA"/>
        </w:rPr>
        <w:t>考核指标：</w:t>
      </w:r>
      <w:r>
        <w:rPr>
          <w:rFonts w:hint="default" w:ascii="Times New Roman" w:hAnsi="Times New Roman" w:eastAsia="仿宋_GB2312" w:cs="Times New Roman"/>
          <w:b w:val="0"/>
          <w:bCs w:val="0"/>
          <w:color w:val="auto"/>
          <w:kern w:val="2"/>
          <w:sz w:val="32"/>
          <w:szCs w:val="32"/>
          <w:highlight w:val="none"/>
          <w:lang w:val="en-US" w:eastAsia="zh-CN" w:bidi="ar-SA"/>
        </w:rPr>
        <w:t>复杂危险环境的耦合种类不少于2类（如夜间、雨雾、粉尘等），监测的人员特征、药量、静电释放状况、设备运行状态的准确度≥95%；风险预警种类包括人员入侵、静电积聚、药量过载、设备故障、粉尘超标等数量≥6，风险预警准确率≥90%；形成多模态协同监测与预警平台1套，预警响应时间≤100 ms；授权知识产权不少于4项，其中，发明专利2项，软件著作权1项；发表高水平论文不少于3篇；建立示范推广点不少于3个。</w:t>
      </w:r>
    </w:p>
    <w:p w14:paraId="32EF41ED">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5598CF31">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79258AE2">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32．监测用光离子化传感器（PID）管件技术研究</w:t>
      </w:r>
    </w:p>
    <w:p w14:paraId="5B50CD8E">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jc w:val="both"/>
        <w:textAlignment w:val="auto"/>
        <w:outlineLvl w:val="9"/>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bCs/>
          <w:color w:val="auto"/>
          <w:kern w:val="2"/>
          <w:sz w:val="32"/>
          <w:szCs w:val="32"/>
          <w:highlight w:val="none"/>
          <w:lang w:val="en-US" w:eastAsia="zh-CN" w:bidi="ar-SA"/>
        </w:rPr>
        <w:t>研究内容：</w:t>
      </w:r>
      <w:r>
        <w:rPr>
          <w:rFonts w:hint="default" w:ascii="Times New Roman" w:hAnsi="Times New Roman" w:eastAsia="仿宋_GB2312" w:cs="Times New Roman"/>
          <w:b w:val="0"/>
          <w:bCs w:val="0"/>
          <w:color w:val="auto"/>
          <w:kern w:val="2"/>
          <w:sz w:val="32"/>
          <w:szCs w:val="32"/>
          <w:highlight w:val="none"/>
          <w:lang w:val="en-US" w:eastAsia="zh-CN" w:bidi="ar-SA"/>
        </w:rPr>
        <w:t>针对加油站和化工场所等场景中易燃易爆及有毒有害气体的安全监测难题，围绕电离室设计优化与测试标准体系构建两大核心攻关方向，开展高性能PID技术与管件装备研发，实现PID的测量范围、分辨率、响应时间、精度等关键性能指标显著突破，并推动产业化。</w:t>
      </w:r>
    </w:p>
    <w:p w14:paraId="76C3D2F2">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9"/>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测量范围：1 ppb-10000 ppm；分辨率≤1 ppb；响应时间≤1秒；精度：±5%。建立光离子化传感器（PID）管件生产线1套，制定标准不少于1项，申请发明专利不少于2项。</w:t>
      </w:r>
    </w:p>
    <w:p w14:paraId="37A6E444">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6752F6A4">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申报。</w:t>
      </w:r>
    </w:p>
    <w:p w14:paraId="13A485CD">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33．长距离堤防渗流和管涌智能感知与预警关键技术及应用示范（青年科学家项目）</w:t>
      </w:r>
    </w:p>
    <w:p w14:paraId="59E39D1F">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9"/>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长距离堤防渗流实时监测与精准定位的难题，研究高灵敏传感技术，开发超弱光纤光栅阵列，实现长距离微弱渗流信号的分布式感知。研究管涌低频声波传播特性，开发管涌低频声波与复杂环境噪声的分离技术，建立分布式声振传感器布设方案，实现管涌源的精确定位，减少渗漏量反演误差。建立渗流-声振-温度协同感知的动态预警模型，提出异常模式识别算法，支持多级预警阈值动态配置。</w:t>
      </w:r>
    </w:p>
    <w:p w14:paraId="0BCD49E2">
      <w:pPr>
        <w:keepNext w:val="0"/>
        <w:keepLines w:val="0"/>
        <w:pageBreakBefore w:val="0"/>
        <w:widowControl w:val="0"/>
        <w:kinsoku/>
        <w:wordWrap/>
        <w:overflowPunct/>
        <w:topLinePunct w:val="0"/>
        <w:autoSpaceDE/>
        <w:autoSpaceDN/>
        <w:bidi w:val="0"/>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光纤监测距离≥10 km，空间分辨率≤0.5 m，温度分辨率±0.05℃；管涌声振定位精度≤3 m（距离≥100 m），渗漏量反演误差＜25%；系统预警响应时间≤10分钟，准确率高于70%；形成超弱光纤光栅渗流监测及声振管涌定位产品一套；建成示范点不少于1个，覆盖圩堤≥20 km；受理或授权或公开发明专利3项。</w:t>
      </w:r>
    </w:p>
    <w:p w14:paraId="125FBE2E">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47F031A7">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0"/>
        <w:rPr>
          <w:rFonts w:hint="default" w:ascii="Times New Roman" w:hAnsi="Times New Roman" w:eastAsia="楷体_GB2312" w:cs="Times New Roman"/>
          <w:b/>
          <w:bCs/>
          <w:color w:val="auto"/>
          <w:sz w:val="32"/>
          <w:szCs w:val="32"/>
          <w:highlight w:val="none"/>
          <w:lang w:eastAsia="zh-CN"/>
        </w:rPr>
      </w:pPr>
      <w:r>
        <w:rPr>
          <w:rFonts w:hint="default" w:ascii="Times New Roman" w:hAnsi="Times New Roman" w:eastAsia="楷体_GB2312" w:cs="Times New Roman"/>
          <w:b/>
          <w:bCs/>
          <w:color w:val="auto"/>
          <w:sz w:val="32"/>
          <w:szCs w:val="32"/>
          <w:highlight w:val="none"/>
          <w:lang w:eastAsia="zh-CN"/>
        </w:rPr>
        <w:t>（五）</w:t>
      </w:r>
      <w:r>
        <w:rPr>
          <w:rFonts w:hint="default" w:ascii="Times New Roman" w:hAnsi="Times New Roman" w:eastAsia="楷体_GB2312" w:cs="Times New Roman"/>
          <w:b/>
          <w:bCs/>
          <w:color w:val="auto"/>
          <w:sz w:val="32"/>
          <w:szCs w:val="32"/>
          <w:highlight w:val="none"/>
          <w:lang w:val="en-US" w:eastAsia="zh-CN"/>
        </w:rPr>
        <w:t>文化科技与现代服务业</w:t>
      </w:r>
    </w:p>
    <w:p w14:paraId="1D7BB740">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34．多模态媒体大模型及视听内容生产发布关键技术研究与应用</w:t>
      </w:r>
    </w:p>
    <w:p w14:paraId="6E8EED0E">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9"/>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媒体视听内容智能生产与发布技术瓶颈，研制基于人工智能、知识图谱等新兴技术的媒体节目生产发布技术和系统。利用大模型和知识图谱等技术将创意文案按照设定模板生产出脚本，生成丰富的音视频成品；研发基于本地化数据资源的混合对抗训练算法，深度挖掘和解析音视频内容上下文语境信息，提升数据标注的质量和模型在复杂内容场景下的识别能力；研发媒体视听垂直大模型可控训练技术，从数据预处理、模型训练到应用部署全链条可控，实现大模型本地化、自主化应用。</w:t>
      </w:r>
    </w:p>
    <w:p w14:paraId="2650688C">
      <w:pPr>
        <w:keepNext w:val="0"/>
        <w:keepLines w:val="0"/>
        <w:pageBreakBefore w:val="0"/>
        <w:widowControl w:val="0"/>
        <w:kinsoku/>
        <w:wordWrap/>
        <w:overflowPunct/>
        <w:topLinePunct w:val="0"/>
        <w:autoSpaceDE/>
        <w:autoSpaceDN/>
        <w:bidi w:val="0"/>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研究AIGC生成技术在媒体视听生产和传播中的全场景应用，研制并发布多模态媒体大模型1款，形成少样本标注对抗训练多模态标签提取算法1套；研制媒体级音/视频合成关键算法系统1套；建设一个省级广播电视媒体机构的音/视频节目AI制作播出系统；研制基于人工智能技术的媒体节目生产发布平台系统1套；在2个以上的媒体机构完成应用示范。</w:t>
      </w:r>
    </w:p>
    <w:p w14:paraId="7B19E428">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540B0D8F">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申报。</w:t>
      </w:r>
    </w:p>
    <w:p w14:paraId="5D618E84">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35．赣鄱文化古籍数字化工程及应用示范</w:t>
      </w:r>
    </w:p>
    <w:p w14:paraId="5E21BC79">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9"/>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赣鄱文化古籍查询、阅读不便以及利用不足等问题，利用先进的信息技术手段，通过时间、地点、人物、书目信息等知识元的关联，将古籍文献、学术研究成果、知识条目有机结合，建立立体化知识系统，构建知识图谱。研发基于人工智能的古籍图片智能OCR识别技术。完成古籍数字迁移、识别校对、碎片化检索、关联汇通等不同等级的数字化。搭建集检索、类聚、知识与信息链接、知识提示、管理等功能于一体的古籍数字化资源管理系统。</w:t>
      </w:r>
    </w:p>
    <w:p w14:paraId="30FA3510">
      <w:pPr>
        <w:keepNext w:val="0"/>
        <w:keepLines w:val="0"/>
        <w:pageBreakBefore w:val="0"/>
        <w:widowControl w:val="0"/>
        <w:kinsoku/>
        <w:wordWrap/>
        <w:overflowPunct/>
        <w:topLinePunct w:val="0"/>
        <w:autoSpaceDE/>
        <w:autoSpaceDN/>
        <w:bidi w:val="0"/>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建立1套古籍数字化标准体系，主编相关标准1项；建立1套古籍数字化生产与发布流程；完成不少于300册古籍数字迁移、识别校对、碎片化检索、关联汇通等不同等级的数字化；开发1套古籍数字化资源管理系统；授权软件著作权1件,发表高水平论文不少于5篇，国家发明专利2件。</w:t>
      </w:r>
    </w:p>
    <w:p w14:paraId="71A68F65">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19391F7B">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申报。</w:t>
      </w:r>
    </w:p>
    <w:p w14:paraId="0A5D970D">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0"/>
        <w:rPr>
          <w:rFonts w:hint="default" w:ascii="Times New Roman" w:hAnsi="Times New Roman" w:eastAsia="楷体_GB2312" w:cs="Times New Roman"/>
          <w:b/>
          <w:bCs/>
          <w:color w:val="auto"/>
          <w:sz w:val="32"/>
          <w:szCs w:val="32"/>
          <w:highlight w:val="none"/>
          <w:lang w:eastAsia="zh-CN"/>
        </w:rPr>
      </w:pPr>
      <w:r>
        <w:rPr>
          <w:rFonts w:hint="default" w:ascii="Times New Roman" w:hAnsi="Times New Roman" w:eastAsia="楷体_GB2312" w:cs="Times New Roman"/>
          <w:b/>
          <w:bCs/>
          <w:color w:val="auto"/>
          <w:sz w:val="32"/>
          <w:szCs w:val="32"/>
          <w:highlight w:val="none"/>
          <w:lang w:eastAsia="zh-CN"/>
        </w:rPr>
        <w:t>（六）</w:t>
      </w:r>
      <w:r>
        <w:rPr>
          <w:rFonts w:hint="default" w:ascii="Times New Roman" w:hAnsi="Times New Roman" w:eastAsia="楷体_GB2312" w:cs="Times New Roman"/>
          <w:b/>
          <w:bCs/>
          <w:color w:val="auto"/>
          <w:sz w:val="32"/>
          <w:szCs w:val="32"/>
          <w:highlight w:val="none"/>
          <w:lang w:val="en-US" w:eastAsia="zh-CN"/>
        </w:rPr>
        <w:t>交通与城镇化建设</w:t>
      </w:r>
    </w:p>
    <w:p w14:paraId="7FB1E11F">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36．基于多源数据智能监测的路基长期服役状态预警关键技术研究</w:t>
      </w:r>
    </w:p>
    <w:p w14:paraId="73B8353A">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9"/>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构建“天-空-地”多源（遥感卫星-无人机-地面监测系统）多尺度协同监测体系，快速获取路基变形与路基内部病害隐患、沿线气象、地质灾害等多源动态监测信息，探明不同尺度监测体系之间的数据协同分析原则与关联，开展路基“发灾-致灾”机理研究，建立运营期致灾预警理论，实现路基服役状态的隐患早期识别与应急响应，为交通安全提供路基保障技术。</w:t>
      </w:r>
    </w:p>
    <w:p w14:paraId="2C7343B1">
      <w:pPr>
        <w:keepNext w:val="0"/>
        <w:keepLines w:val="0"/>
        <w:pageBreakBefore w:val="0"/>
        <w:widowControl w:val="0"/>
        <w:kinsoku/>
        <w:wordWrap/>
        <w:overflowPunct/>
        <w:topLinePunct w:val="0"/>
        <w:autoSpaceDE/>
        <w:autoSpaceDN/>
        <w:bidi w:val="0"/>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开展无人机智能识别灾害研究，构建卫星遥感（分辨率≤10 cm）、无人机（日覆盖30 km²）与地面传感网络（5个/km）协同监测体系，突破多源数据30分钟级融合处理技术，开发准确率≥90%的隐患识别算法与±2 mm精度的变形预测模型；形成智能监测云平台、建立病害数据库与“发灾-致灾”阈值，实现巡检成本降40%、隐患响应≤2小时、灾害预警准确率提高10%，在公路、铁路行业建立代表性示范工程各不少于两处，建立交通网（铁路与公路）应急响应系统。主编国家或团体或地方标准1项。</w:t>
      </w:r>
    </w:p>
    <w:p w14:paraId="775510CD">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055E0FB7">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37．基于CIM数字底座的老旧社区低碳更新潜力评估与空间优化策略研究</w:t>
      </w:r>
    </w:p>
    <w:p w14:paraId="2A7AC23D">
      <w:pPr>
        <w:pStyle w:val="5"/>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9"/>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基于实时动态的物联感知数据融入与实体模型对象增量更新算法，研发物联感知数据驱动的数字底座几何模型状态更新与动态演化技术，支持实现数字底座模型对现实城市空间场景的精确映射。构建数字底座仿真模拟计算框架,解析老旧社区更新潜力的低碳关键影响要素，提出老旧社区低碳更新潜力评估算法。构建智能化的老旧社区空间优化调控模型，开展多要素变量条件下的空间设计优化、空间性能测度和方案评价分析，建立低碳导向下老旧社区多要素协同更新的空间优化策略体系。</w:t>
      </w:r>
    </w:p>
    <w:p w14:paraId="226B3C52">
      <w:pPr>
        <w:pStyle w:val="3"/>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开发1套数字底座仿真模拟计算框架，实现CIM1-6级模型标准数据接入；开发数字底座数据前处理技术，完成不少于3种基础性算法模块；开发1套基于数字底座的老旧社区低碳更新潜力评估算法及软件，相对位置精度优于50 cm；建立不少于1个老旧社区应用示范点（总建筑面积不少于1万平方米）；发表高水平论文不少于6篇；登记软件著作权2个；授权（含公开）发明专利3项。</w:t>
      </w:r>
    </w:p>
    <w:p w14:paraId="063C2C69">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100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4454505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FD6C1E"/>
    <w:rsid w:val="3C1A3546"/>
    <w:rsid w:val="5BFD6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3"/>
    <w:qFormat/>
    <w:uiPriority w:val="0"/>
    <w:pPr>
      <w:spacing w:after="120" w:afterLines="0" w:afterAutospacing="0"/>
    </w:pPr>
  </w:style>
  <w:style w:type="paragraph" w:styleId="3">
    <w:name w:val="Body Text First Indent"/>
    <w:basedOn w:val="2"/>
    <w:next w:val="2"/>
    <w:unhideWhenUsed/>
    <w:qFormat/>
    <w:uiPriority w:val="99"/>
    <w:pPr>
      <w:ind w:firstLine="420" w:firstLineChars="100"/>
    </w:pPr>
  </w:style>
  <w:style w:type="paragraph" w:styleId="4">
    <w:name w:val="Body Text Indent"/>
    <w:basedOn w:val="1"/>
    <w:next w:val="5"/>
    <w:qFormat/>
    <w:uiPriority w:val="0"/>
    <w:pPr>
      <w:adjustRightInd w:val="0"/>
      <w:snapToGrid w:val="0"/>
      <w:spacing w:line="380" w:lineRule="exact"/>
      <w:ind w:firstLine="636"/>
    </w:pPr>
    <w:rPr>
      <w:szCs w:val="24"/>
    </w:rPr>
  </w:style>
  <w:style w:type="paragraph" w:styleId="5">
    <w:name w:val="Body Text First Indent 2"/>
    <w:basedOn w:val="4"/>
    <w:next w:val="3"/>
    <w:qFormat/>
    <w:uiPriority w:val="0"/>
    <w:pPr>
      <w:ind w:firstLine="200" w:firstLineChars="200"/>
    </w:pPr>
    <w:rPr>
      <w:rFonts w:ascii="Times New Roman" w:hAnsi="Times New Roman"/>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2025-07-15T09:56:00Z</dcterms:created>
  <dc:creator>Elva</dc:creator>
  <cp:lastModifiedBy>Elva</cp:lastModifiedBy>
  <dcterms:modified xsi:type="dcterms:W3CDTF">2025-07-15T09:56:32Z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3476B0D0A3F54BB0A3BC55D9D37B15D5_11</vt:lpwstr>
  </property>
  <property fmtid="{D5CDD505-2E9C-101B-9397-08002B2CF9AE}" pid="4" name="KSOTemplateDocerSaveRecord">
    <vt:lpwstr>eyJoZGlkIjoiMjlmNTcyYTM5ZmIxMTI5ZmMyYWY2ZGNiY2EzZDAxNzciLCJ1c2VySWQiOiI0NDgxMjkyNjIifQ==</vt:lpwstr>
  </property>
</Properties>
</file>